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Override PartName="/word/charts/chart19.xml" ContentType="application/vnd.openxmlformats-officedocument.drawingml.chart+xml"/>
  <Override PartName="/word/drawings/drawing2.xml" ContentType="application/vnd.openxmlformats-officedocument.drawingml.chartshapes+xml"/>
  <Override PartName="/word/charts/chart20.xml" ContentType="application/vnd.openxmlformats-officedocument.drawingml.chart+xml"/>
  <Override PartName="/word/drawings/drawing3.xml" ContentType="application/vnd.openxmlformats-officedocument.drawingml.chartshapes+xml"/>
  <Override PartName="/word/charts/chart21.xml" ContentType="application/vnd.openxmlformats-officedocument.drawingml.chart+xml"/>
  <Override PartName="/word/drawings/drawing4.xml" ContentType="application/vnd.openxmlformats-officedocument.drawingml.chartshapes+xml"/>
  <Override PartName="/word/charts/chart22.xml" ContentType="application/vnd.openxmlformats-officedocument.drawingml.chart+xml"/>
  <Override PartName="/word/theme/themeOverride4.xml" ContentType="application/vnd.openxmlformats-officedocument.themeOverride+xml"/>
  <Override PartName="/word/drawings/drawing5.xml" ContentType="application/vnd.openxmlformats-officedocument.drawingml.chartshapes+xml"/>
  <Override PartName="/word/charts/chart23.xml" ContentType="application/vnd.openxmlformats-officedocument.drawingml.chart+xml"/>
  <Override PartName="/word/drawings/drawing6.xml" ContentType="application/vnd.openxmlformats-officedocument.drawingml.chartshapes+xml"/>
  <Override PartName="/word/charts/chart24.xml" ContentType="application/vnd.openxmlformats-officedocument.drawingml.chart+xml"/>
  <Override PartName="/word/drawings/drawing7.xml" ContentType="application/vnd.openxmlformats-officedocument.drawingml.chartshapes+xml"/>
  <Override PartName="/word/charts/chart25.xml" ContentType="application/vnd.openxmlformats-officedocument.drawingml.chart+xml"/>
  <Override PartName="/word/theme/themeOverride5.xml" ContentType="application/vnd.openxmlformats-officedocument.themeOverride+xml"/>
  <Override PartName="/word/charts/chart26.xml" ContentType="application/vnd.openxmlformats-officedocument.drawingml.chart+xml"/>
  <Override PartName="/word/charts/chart27.xml" ContentType="application/vnd.openxmlformats-officedocument.drawingml.chart+xml"/>
  <Override PartName="/word/theme/themeOverride6.xml" ContentType="application/vnd.openxmlformats-officedocument.themeOverride+xml"/>
  <Override PartName="/word/drawings/drawing8.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A30E37" w14:textId="77777777" w:rsidR="00743AB9" w:rsidRDefault="001308E1" w:rsidP="00743AB9">
      <w:pPr>
        <w:spacing w:after="160" w:line="259" w:lineRule="auto"/>
        <w:ind w:left="0" w:right="0" w:firstLine="0"/>
        <w:jc w:val="center"/>
        <w:rPr>
          <w:sz w:val="36"/>
          <w:szCs w:val="36"/>
        </w:rPr>
      </w:pPr>
      <w:r>
        <w:rPr>
          <w:noProof/>
          <w:color w:val="0000FF"/>
        </w:rPr>
        <w:t xml:space="preserve"> </w:t>
      </w:r>
      <w:r w:rsidR="00743AB9">
        <w:rPr>
          <w:noProof/>
          <w:color w:val="0000FF"/>
        </w:rPr>
        <w:drawing>
          <wp:inline distT="0" distB="0" distL="0" distR="0" wp14:anchorId="566BFBD5" wp14:editId="07A8FF3C">
            <wp:extent cx="1579755" cy="1428750"/>
            <wp:effectExtent l="0" t="0" r="1905" b="0"/>
            <wp:docPr id="14" name="irc_mi" descr="http://www.ccmar.ualg.pt/fbh/ualg_logo2.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cmar.ualg.pt/fbh/ualg_logo2.jpg">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99589" cy="1446688"/>
                    </a:xfrm>
                    <a:prstGeom prst="rect">
                      <a:avLst/>
                    </a:prstGeom>
                    <a:noFill/>
                    <a:ln>
                      <a:noFill/>
                    </a:ln>
                  </pic:spPr>
                </pic:pic>
              </a:graphicData>
            </a:graphic>
          </wp:inline>
        </w:drawing>
      </w:r>
      <w:r w:rsidR="00743AB9" w:rsidRPr="0097327E">
        <w:rPr>
          <w:noProof/>
          <w:color w:val="0000FF"/>
        </w:rPr>
        <w:t xml:space="preserve"> </w:t>
      </w:r>
    </w:p>
    <w:p w14:paraId="1C653697" w14:textId="77777777" w:rsidR="00743AB9" w:rsidRDefault="00743AB9" w:rsidP="00743AB9">
      <w:pPr>
        <w:spacing w:after="160" w:line="259" w:lineRule="auto"/>
        <w:ind w:left="0" w:right="0" w:firstLine="0"/>
        <w:jc w:val="center"/>
        <w:rPr>
          <w:sz w:val="36"/>
          <w:szCs w:val="36"/>
        </w:rPr>
      </w:pPr>
    </w:p>
    <w:p w14:paraId="71EBF3D4" w14:textId="77777777" w:rsidR="00743AB9" w:rsidRDefault="00743AB9" w:rsidP="00743AB9">
      <w:pPr>
        <w:spacing w:after="160" w:line="259" w:lineRule="auto"/>
        <w:ind w:left="0" w:right="0" w:firstLine="0"/>
        <w:jc w:val="center"/>
        <w:rPr>
          <w:sz w:val="36"/>
          <w:szCs w:val="36"/>
        </w:rPr>
      </w:pPr>
      <w:bookmarkStart w:id="0" w:name="OLE_LINK351"/>
      <w:r w:rsidRPr="00ED7B58">
        <w:rPr>
          <w:sz w:val="36"/>
          <w:szCs w:val="36"/>
        </w:rPr>
        <w:t>UNIVERSIDADE DO ALGARVE</w:t>
      </w:r>
    </w:p>
    <w:bookmarkEnd w:id="0"/>
    <w:p w14:paraId="03F5F5F8" w14:textId="77777777" w:rsidR="00743AB9" w:rsidRPr="00ED7B58" w:rsidRDefault="00743AB9" w:rsidP="00743AB9">
      <w:pPr>
        <w:spacing w:after="160" w:line="259" w:lineRule="auto"/>
        <w:ind w:left="0" w:right="0" w:firstLine="0"/>
        <w:jc w:val="center"/>
        <w:rPr>
          <w:sz w:val="16"/>
          <w:szCs w:val="16"/>
        </w:rPr>
      </w:pPr>
    </w:p>
    <w:p w14:paraId="0DE9D894" w14:textId="77777777" w:rsidR="00743AB9" w:rsidRDefault="00743AB9" w:rsidP="00743AB9">
      <w:pPr>
        <w:spacing w:after="160" w:line="259" w:lineRule="auto"/>
        <w:ind w:left="0" w:right="0" w:firstLine="0"/>
        <w:jc w:val="center"/>
        <w:rPr>
          <w:sz w:val="28"/>
          <w:szCs w:val="28"/>
        </w:rPr>
      </w:pPr>
      <w:r w:rsidRPr="00435F13">
        <w:rPr>
          <w:sz w:val="28"/>
          <w:szCs w:val="28"/>
        </w:rPr>
        <w:t>Faculdade de Ciências e Tecnologia</w:t>
      </w:r>
    </w:p>
    <w:p w14:paraId="5F26630E" w14:textId="77777777" w:rsidR="00743AB9" w:rsidRPr="00435F13" w:rsidRDefault="00743AB9" w:rsidP="00743AB9">
      <w:pPr>
        <w:spacing w:after="160" w:line="259" w:lineRule="auto"/>
        <w:ind w:left="0" w:right="0" w:firstLine="0"/>
        <w:jc w:val="center"/>
        <w:rPr>
          <w:sz w:val="28"/>
          <w:szCs w:val="28"/>
        </w:rPr>
      </w:pPr>
    </w:p>
    <w:p w14:paraId="5EB30041" w14:textId="77777777" w:rsidR="00743AB9" w:rsidRDefault="00743AB9" w:rsidP="00743AB9">
      <w:pPr>
        <w:spacing w:after="160" w:line="259" w:lineRule="auto"/>
        <w:ind w:left="0" w:right="0" w:firstLine="0"/>
        <w:jc w:val="center"/>
        <w:rPr>
          <w:szCs w:val="24"/>
        </w:rPr>
      </w:pPr>
      <w:r>
        <w:rPr>
          <w:sz w:val="36"/>
          <w:szCs w:val="36"/>
        </w:rPr>
        <w:t xml:space="preserve">AVALIAÇÃO </w:t>
      </w:r>
      <w:r w:rsidR="006B4E43">
        <w:rPr>
          <w:sz w:val="36"/>
          <w:szCs w:val="36"/>
        </w:rPr>
        <w:t xml:space="preserve">QUALITATIVA DOS FRUTOS </w:t>
      </w:r>
      <w:r w:rsidR="00154A19">
        <w:rPr>
          <w:sz w:val="36"/>
          <w:szCs w:val="36"/>
        </w:rPr>
        <w:t>DE ECÓTIPOS</w:t>
      </w:r>
      <w:r w:rsidR="009E4A9F">
        <w:rPr>
          <w:sz w:val="36"/>
          <w:szCs w:val="36"/>
        </w:rPr>
        <w:t>/</w:t>
      </w:r>
      <w:r w:rsidR="00745734">
        <w:rPr>
          <w:sz w:val="36"/>
          <w:szCs w:val="36"/>
        </w:rPr>
        <w:t>CULTIVARES</w:t>
      </w:r>
      <w:r>
        <w:rPr>
          <w:sz w:val="36"/>
          <w:szCs w:val="36"/>
        </w:rPr>
        <w:t xml:space="preserve"> DE </w:t>
      </w:r>
      <w:r w:rsidRPr="006E057E">
        <w:rPr>
          <w:i/>
          <w:sz w:val="36"/>
          <w:szCs w:val="36"/>
        </w:rPr>
        <w:t>OPUNTIA-FICUS INDICA</w:t>
      </w:r>
      <w:r>
        <w:rPr>
          <w:sz w:val="36"/>
          <w:szCs w:val="36"/>
        </w:rPr>
        <w:t xml:space="preserve"> L. COLHIDOS A SUL DE PORTUGAL</w:t>
      </w:r>
    </w:p>
    <w:p w14:paraId="141D943C" w14:textId="77777777" w:rsidR="00743AB9" w:rsidRDefault="00743AB9" w:rsidP="00743AB9">
      <w:pPr>
        <w:spacing w:after="160" w:line="259" w:lineRule="auto"/>
        <w:ind w:left="0" w:right="0" w:firstLine="0"/>
        <w:jc w:val="center"/>
        <w:rPr>
          <w:szCs w:val="24"/>
        </w:rPr>
      </w:pPr>
    </w:p>
    <w:p w14:paraId="4DCC745F" w14:textId="77777777" w:rsidR="00743AB9" w:rsidRDefault="00743AB9" w:rsidP="00743AB9">
      <w:pPr>
        <w:spacing w:after="160" w:line="259" w:lineRule="auto"/>
        <w:ind w:left="0" w:right="0" w:firstLine="0"/>
        <w:jc w:val="center"/>
        <w:rPr>
          <w:szCs w:val="24"/>
        </w:rPr>
      </w:pPr>
    </w:p>
    <w:p w14:paraId="379951A7" w14:textId="77777777" w:rsidR="00743AB9" w:rsidRPr="00435F13" w:rsidRDefault="00743AB9" w:rsidP="00743AB9">
      <w:pPr>
        <w:spacing w:after="160" w:line="259" w:lineRule="auto"/>
        <w:ind w:left="0" w:right="0" w:firstLine="0"/>
        <w:jc w:val="center"/>
        <w:rPr>
          <w:b/>
          <w:sz w:val="28"/>
          <w:szCs w:val="28"/>
        </w:rPr>
      </w:pPr>
      <w:r>
        <w:rPr>
          <w:b/>
          <w:sz w:val="28"/>
          <w:szCs w:val="28"/>
        </w:rPr>
        <w:t>Rita Goulão Valente</w:t>
      </w:r>
    </w:p>
    <w:p w14:paraId="0FDE5826" w14:textId="77777777" w:rsidR="00743AB9" w:rsidRDefault="00743AB9" w:rsidP="00743AB9">
      <w:pPr>
        <w:spacing w:after="160" w:line="259" w:lineRule="auto"/>
        <w:ind w:left="0" w:right="0" w:firstLine="0"/>
        <w:jc w:val="center"/>
        <w:rPr>
          <w:szCs w:val="24"/>
        </w:rPr>
      </w:pPr>
    </w:p>
    <w:p w14:paraId="5FE87388" w14:textId="77777777" w:rsidR="00743AB9" w:rsidRDefault="00743AB9" w:rsidP="00743AB9">
      <w:pPr>
        <w:spacing w:after="160" w:line="259" w:lineRule="auto"/>
        <w:ind w:left="0" w:right="0" w:firstLine="0"/>
        <w:jc w:val="center"/>
        <w:rPr>
          <w:szCs w:val="24"/>
        </w:rPr>
      </w:pPr>
    </w:p>
    <w:p w14:paraId="73A51E6A" w14:textId="77777777" w:rsidR="00743AB9" w:rsidRPr="003C4EEC" w:rsidRDefault="00743AB9" w:rsidP="00743AB9">
      <w:pPr>
        <w:spacing w:after="160" w:line="259" w:lineRule="auto"/>
        <w:ind w:left="0" w:right="0" w:firstLine="0"/>
        <w:jc w:val="center"/>
        <w:rPr>
          <w:sz w:val="32"/>
          <w:szCs w:val="32"/>
        </w:rPr>
      </w:pPr>
      <w:r w:rsidRPr="003C4EEC">
        <w:rPr>
          <w:sz w:val="32"/>
          <w:szCs w:val="32"/>
        </w:rPr>
        <w:t xml:space="preserve">Dissertação de Mestrado Integrado em Engenharia Biológica </w:t>
      </w:r>
    </w:p>
    <w:p w14:paraId="208CCBEF" w14:textId="77777777" w:rsidR="00743AB9" w:rsidRDefault="00743AB9" w:rsidP="00743AB9">
      <w:pPr>
        <w:spacing w:after="160" w:line="259" w:lineRule="auto"/>
        <w:ind w:left="0" w:right="0" w:firstLine="0"/>
        <w:jc w:val="center"/>
        <w:rPr>
          <w:szCs w:val="24"/>
        </w:rPr>
      </w:pPr>
    </w:p>
    <w:p w14:paraId="54785A60" w14:textId="77777777" w:rsidR="00743AB9" w:rsidRDefault="00743AB9" w:rsidP="00743AB9">
      <w:pPr>
        <w:spacing w:after="160" w:line="259" w:lineRule="auto"/>
        <w:ind w:left="0" w:right="0" w:firstLine="0"/>
        <w:rPr>
          <w:sz w:val="36"/>
          <w:szCs w:val="36"/>
        </w:rPr>
      </w:pPr>
    </w:p>
    <w:p w14:paraId="28300AD0" w14:textId="77777777" w:rsidR="00743AB9" w:rsidRPr="00435F13" w:rsidRDefault="00743AB9" w:rsidP="00743AB9">
      <w:pPr>
        <w:spacing w:after="160" w:line="259" w:lineRule="auto"/>
        <w:ind w:left="0" w:right="0" w:firstLine="0"/>
        <w:jc w:val="center"/>
        <w:rPr>
          <w:b/>
          <w:szCs w:val="24"/>
        </w:rPr>
      </w:pPr>
      <w:r>
        <w:rPr>
          <w:b/>
          <w:szCs w:val="24"/>
        </w:rPr>
        <w:t xml:space="preserve">                  </w:t>
      </w:r>
      <w:r w:rsidRPr="00435F13">
        <w:rPr>
          <w:b/>
          <w:szCs w:val="24"/>
        </w:rPr>
        <w:t>Orientadores:</w:t>
      </w:r>
    </w:p>
    <w:p w14:paraId="561BA3A7" w14:textId="77777777" w:rsidR="00743AB9" w:rsidRPr="00435F13" w:rsidRDefault="00743AB9" w:rsidP="00743AB9">
      <w:pPr>
        <w:pStyle w:val="Default"/>
        <w:spacing w:line="360" w:lineRule="auto"/>
        <w:jc w:val="right"/>
        <w:rPr>
          <w:rFonts w:ascii="Times New Roman" w:hAnsi="Times New Roman" w:cs="Times New Roman"/>
          <w:sz w:val="23"/>
          <w:szCs w:val="23"/>
        </w:rPr>
      </w:pPr>
      <w:r>
        <w:rPr>
          <w:rFonts w:ascii="Times New Roman" w:hAnsi="Times New Roman" w:cs="Times New Roman"/>
        </w:rPr>
        <w:t xml:space="preserve">Professora </w:t>
      </w:r>
      <w:r w:rsidRPr="00435F13">
        <w:rPr>
          <w:rFonts w:ascii="Times New Roman" w:hAnsi="Times New Roman" w:cs="Times New Roman"/>
        </w:rPr>
        <w:t xml:space="preserve">Doutora </w:t>
      </w:r>
      <w:r w:rsidRPr="00435F13">
        <w:rPr>
          <w:rFonts w:ascii="Times New Roman" w:hAnsi="Times New Roman" w:cs="Times New Roman"/>
          <w:bCs/>
          <w:sz w:val="23"/>
          <w:szCs w:val="23"/>
        </w:rPr>
        <w:t xml:space="preserve">Maria Dulce Carlos Antunes </w:t>
      </w:r>
    </w:p>
    <w:p w14:paraId="7D62328D" w14:textId="77777777" w:rsidR="00743AB9" w:rsidRDefault="00743AB9" w:rsidP="00743AB9">
      <w:pPr>
        <w:spacing w:after="160" w:line="360" w:lineRule="auto"/>
        <w:ind w:right="0"/>
        <w:rPr>
          <w:bCs/>
          <w:sz w:val="23"/>
          <w:szCs w:val="23"/>
        </w:rPr>
      </w:pPr>
      <w:r>
        <w:rPr>
          <w:bCs/>
          <w:sz w:val="23"/>
          <w:szCs w:val="23"/>
        </w:rPr>
        <w:t xml:space="preserve">                                                                     </w:t>
      </w:r>
      <w:r w:rsidRPr="00435F13">
        <w:rPr>
          <w:bCs/>
          <w:sz w:val="23"/>
          <w:szCs w:val="23"/>
        </w:rPr>
        <w:t>Doutora Custódia Maria Luís Gago</w:t>
      </w:r>
    </w:p>
    <w:p w14:paraId="3B3A5936" w14:textId="77777777" w:rsidR="00743AB9" w:rsidRDefault="00743AB9" w:rsidP="00743AB9">
      <w:pPr>
        <w:spacing w:after="160" w:line="360" w:lineRule="auto"/>
        <w:ind w:left="3540" w:right="0" w:firstLine="708"/>
        <w:rPr>
          <w:bCs/>
          <w:sz w:val="23"/>
          <w:szCs w:val="23"/>
        </w:rPr>
      </w:pPr>
    </w:p>
    <w:p w14:paraId="487D4E8C" w14:textId="77777777" w:rsidR="00743AB9" w:rsidRDefault="00743AB9" w:rsidP="00743AB9">
      <w:pPr>
        <w:spacing w:after="160" w:line="360" w:lineRule="auto"/>
        <w:ind w:left="3540" w:right="0" w:firstLine="708"/>
        <w:rPr>
          <w:bCs/>
          <w:sz w:val="23"/>
          <w:szCs w:val="23"/>
        </w:rPr>
      </w:pPr>
    </w:p>
    <w:p w14:paraId="0A3B3A36" w14:textId="77777777" w:rsidR="00743AB9" w:rsidRPr="003C4EEC" w:rsidRDefault="00743AB9" w:rsidP="00743AB9">
      <w:pPr>
        <w:spacing w:after="160" w:line="360" w:lineRule="auto"/>
        <w:ind w:right="0"/>
        <w:jc w:val="center"/>
        <w:rPr>
          <w:b/>
          <w:bCs/>
          <w:szCs w:val="24"/>
        </w:rPr>
      </w:pPr>
      <w:r w:rsidRPr="003C4EEC">
        <w:rPr>
          <w:b/>
          <w:bCs/>
          <w:szCs w:val="24"/>
        </w:rPr>
        <w:t>Faro</w:t>
      </w:r>
    </w:p>
    <w:p w14:paraId="1D34EBEE" w14:textId="53A357E8" w:rsidR="00743AB9" w:rsidRDefault="00743AB9" w:rsidP="00743AB9">
      <w:pPr>
        <w:spacing w:after="160" w:line="360" w:lineRule="auto"/>
        <w:ind w:right="0"/>
        <w:jc w:val="center"/>
        <w:rPr>
          <w:b/>
        </w:rPr>
      </w:pPr>
      <w:r>
        <w:rPr>
          <w:b/>
        </w:rPr>
        <w:t>201</w:t>
      </w:r>
      <w:r w:rsidR="00E16B03">
        <w:rPr>
          <w:b/>
        </w:rPr>
        <w:t>7</w:t>
      </w:r>
    </w:p>
    <w:p w14:paraId="402C74DD" w14:textId="77777777" w:rsidR="00E16B03" w:rsidRPr="006E057E" w:rsidRDefault="00E16B03" w:rsidP="00EB1819">
      <w:pPr>
        <w:spacing w:after="160" w:line="360" w:lineRule="auto"/>
        <w:ind w:right="0"/>
        <w:jc w:val="center"/>
        <w:rPr>
          <w:b/>
        </w:rPr>
      </w:pPr>
    </w:p>
    <w:p w14:paraId="124BD9CA" w14:textId="77777777" w:rsidR="00743AB9" w:rsidRDefault="00743AB9" w:rsidP="00743AB9">
      <w:pPr>
        <w:spacing w:after="160" w:line="259" w:lineRule="auto"/>
        <w:ind w:left="0" w:right="0" w:firstLine="0"/>
        <w:jc w:val="center"/>
        <w:rPr>
          <w:sz w:val="36"/>
          <w:szCs w:val="36"/>
        </w:rPr>
      </w:pPr>
      <w:r>
        <w:rPr>
          <w:noProof/>
          <w:color w:val="0000FF"/>
        </w:rPr>
        <w:drawing>
          <wp:inline distT="0" distB="0" distL="0" distR="0" wp14:anchorId="79546700" wp14:editId="360072C5">
            <wp:extent cx="1579755" cy="1428750"/>
            <wp:effectExtent l="0" t="0" r="1905" b="0"/>
            <wp:docPr id="1" name="irc_mi" descr="http://www.ccmar.ualg.pt/fbh/ualg_logo2.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ccmar.ualg.pt/fbh/ualg_logo2.jpg">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99589" cy="1446688"/>
                    </a:xfrm>
                    <a:prstGeom prst="rect">
                      <a:avLst/>
                    </a:prstGeom>
                    <a:noFill/>
                    <a:ln>
                      <a:noFill/>
                    </a:ln>
                  </pic:spPr>
                </pic:pic>
              </a:graphicData>
            </a:graphic>
          </wp:inline>
        </w:drawing>
      </w:r>
      <w:r w:rsidRPr="0097327E">
        <w:rPr>
          <w:noProof/>
          <w:color w:val="0000FF"/>
        </w:rPr>
        <w:t xml:space="preserve"> </w:t>
      </w:r>
    </w:p>
    <w:p w14:paraId="02EEC313" w14:textId="77777777" w:rsidR="00743AB9" w:rsidRDefault="00743AB9" w:rsidP="00743AB9">
      <w:pPr>
        <w:spacing w:after="160" w:line="259" w:lineRule="auto"/>
        <w:ind w:left="0" w:right="0" w:firstLine="0"/>
        <w:jc w:val="center"/>
        <w:rPr>
          <w:sz w:val="36"/>
          <w:szCs w:val="36"/>
        </w:rPr>
      </w:pPr>
    </w:p>
    <w:p w14:paraId="1CBE5538" w14:textId="77777777" w:rsidR="00743AB9" w:rsidRDefault="00743AB9" w:rsidP="00743AB9">
      <w:pPr>
        <w:spacing w:after="160" w:line="259" w:lineRule="auto"/>
        <w:ind w:left="0" w:right="0" w:firstLine="0"/>
        <w:jc w:val="center"/>
        <w:rPr>
          <w:sz w:val="36"/>
          <w:szCs w:val="36"/>
        </w:rPr>
      </w:pPr>
      <w:r w:rsidRPr="00ED7B58">
        <w:rPr>
          <w:sz w:val="36"/>
          <w:szCs w:val="36"/>
        </w:rPr>
        <w:t>UNIVERSIDADE DO ALGARVE</w:t>
      </w:r>
    </w:p>
    <w:p w14:paraId="4CD80A5B" w14:textId="77777777" w:rsidR="00743AB9" w:rsidRPr="00ED7B58" w:rsidRDefault="00743AB9" w:rsidP="00743AB9">
      <w:pPr>
        <w:spacing w:after="160" w:line="259" w:lineRule="auto"/>
        <w:ind w:left="0" w:right="0" w:firstLine="0"/>
        <w:jc w:val="center"/>
        <w:rPr>
          <w:sz w:val="16"/>
          <w:szCs w:val="16"/>
        </w:rPr>
      </w:pPr>
    </w:p>
    <w:p w14:paraId="17121AB4" w14:textId="77777777" w:rsidR="00743AB9" w:rsidRDefault="00743AB9" w:rsidP="00743AB9">
      <w:pPr>
        <w:spacing w:after="160" w:line="259" w:lineRule="auto"/>
        <w:ind w:left="0" w:right="0" w:firstLine="0"/>
        <w:jc w:val="center"/>
        <w:rPr>
          <w:sz w:val="28"/>
          <w:szCs w:val="28"/>
        </w:rPr>
      </w:pPr>
      <w:r w:rsidRPr="00435F13">
        <w:rPr>
          <w:sz w:val="28"/>
          <w:szCs w:val="28"/>
        </w:rPr>
        <w:t>Faculdade de Ciências e Tecnologia</w:t>
      </w:r>
    </w:p>
    <w:p w14:paraId="2C973678" w14:textId="77777777" w:rsidR="00743AB9" w:rsidRPr="00435F13" w:rsidRDefault="00743AB9" w:rsidP="00743AB9">
      <w:pPr>
        <w:spacing w:after="160" w:line="259" w:lineRule="auto"/>
        <w:ind w:left="0" w:right="0" w:firstLine="0"/>
        <w:jc w:val="center"/>
        <w:rPr>
          <w:sz w:val="28"/>
          <w:szCs w:val="28"/>
        </w:rPr>
      </w:pPr>
    </w:p>
    <w:p w14:paraId="40117395" w14:textId="77777777" w:rsidR="00743AB9" w:rsidRDefault="00743AB9" w:rsidP="00743AB9">
      <w:pPr>
        <w:spacing w:after="160" w:line="259" w:lineRule="auto"/>
        <w:ind w:left="0" w:right="0" w:firstLine="0"/>
        <w:jc w:val="center"/>
        <w:rPr>
          <w:szCs w:val="24"/>
        </w:rPr>
      </w:pPr>
      <w:r>
        <w:rPr>
          <w:sz w:val="36"/>
          <w:szCs w:val="36"/>
        </w:rPr>
        <w:t>AVALIAÇÃO QUALITATIVA DOS FRUTOS DE ECÓTIPOS</w:t>
      </w:r>
      <w:r w:rsidR="00745734">
        <w:rPr>
          <w:sz w:val="36"/>
          <w:szCs w:val="36"/>
        </w:rPr>
        <w:t>/CULTIVARES</w:t>
      </w:r>
      <w:r>
        <w:rPr>
          <w:sz w:val="36"/>
          <w:szCs w:val="36"/>
        </w:rPr>
        <w:t xml:space="preserve"> DE </w:t>
      </w:r>
      <w:r w:rsidRPr="006E057E">
        <w:rPr>
          <w:i/>
          <w:sz w:val="36"/>
          <w:szCs w:val="36"/>
        </w:rPr>
        <w:t>OPUNTIA-FICUS INDICA</w:t>
      </w:r>
      <w:r>
        <w:rPr>
          <w:sz w:val="36"/>
          <w:szCs w:val="36"/>
        </w:rPr>
        <w:t xml:space="preserve"> L. COLHIDOS A SUL DE PORTUGAL</w:t>
      </w:r>
    </w:p>
    <w:p w14:paraId="788BFABC" w14:textId="77777777" w:rsidR="00743AB9" w:rsidRDefault="00743AB9" w:rsidP="00743AB9">
      <w:pPr>
        <w:spacing w:after="160" w:line="259" w:lineRule="auto"/>
        <w:ind w:left="0" w:right="0" w:firstLine="0"/>
        <w:jc w:val="center"/>
        <w:rPr>
          <w:szCs w:val="24"/>
        </w:rPr>
      </w:pPr>
    </w:p>
    <w:p w14:paraId="2D1EF5CF" w14:textId="77777777" w:rsidR="00743AB9" w:rsidRDefault="00743AB9" w:rsidP="00743AB9">
      <w:pPr>
        <w:spacing w:after="160" w:line="259" w:lineRule="auto"/>
        <w:ind w:left="0" w:right="0" w:firstLine="0"/>
        <w:jc w:val="center"/>
        <w:rPr>
          <w:szCs w:val="24"/>
        </w:rPr>
      </w:pPr>
    </w:p>
    <w:p w14:paraId="17C8D540" w14:textId="77777777" w:rsidR="00743AB9" w:rsidRPr="00435F13" w:rsidRDefault="00743AB9" w:rsidP="00743AB9">
      <w:pPr>
        <w:spacing w:after="160" w:line="259" w:lineRule="auto"/>
        <w:ind w:left="0" w:right="0" w:firstLine="0"/>
        <w:jc w:val="center"/>
        <w:rPr>
          <w:b/>
          <w:sz w:val="28"/>
          <w:szCs w:val="28"/>
        </w:rPr>
      </w:pPr>
      <w:r>
        <w:rPr>
          <w:b/>
          <w:sz w:val="28"/>
          <w:szCs w:val="28"/>
        </w:rPr>
        <w:t>Rita Goulão Valente</w:t>
      </w:r>
    </w:p>
    <w:p w14:paraId="0EA9C3EE" w14:textId="77777777" w:rsidR="00743AB9" w:rsidRDefault="00743AB9" w:rsidP="00743AB9">
      <w:pPr>
        <w:spacing w:after="160" w:line="259" w:lineRule="auto"/>
        <w:ind w:left="0" w:right="0" w:firstLine="0"/>
        <w:jc w:val="center"/>
        <w:rPr>
          <w:szCs w:val="24"/>
        </w:rPr>
      </w:pPr>
    </w:p>
    <w:p w14:paraId="21CE4679" w14:textId="77777777" w:rsidR="00743AB9" w:rsidRDefault="00743AB9" w:rsidP="00743AB9">
      <w:pPr>
        <w:spacing w:after="160" w:line="259" w:lineRule="auto"/>
        <w:ind w:left="0" w:right="0" w:firstLine="0"/>
        <w:jc w:val="center"/>
        <w:rPr>
          <w:szCs w:val="24"/>
        </w:rPr>
      </w:pPr>
    </w:p>
    <w:p w14:paraId="01724E9A" w14:textId="77777777" w:rsidR="00743AB9" w:rsidRPr="003C4EEC" w:rsidRDefault="00743AB9" w:rsidP="00743AB9">
      <w:pPr>
        <w:spacing w:after="160" w:line="259" w:lineRule="auto"/>
        <w:ind w:left="0" w:right="0" w:firstLine="0"/>
        <w:jc w:val="center"/>
        <w:rPr>
          <w:sz w:val="32"/>
          <w:szCs w:val="32"/>
        </w:rPr>
      </w:pPr>
      <w:r w:rsidRPr="003C4EEC">
        <w:rPr>
          <w:sz w:val="32"/>
          <w:szCs w:val="32"/>
        </w:rPr>
        <w:t xml:space="preserve">Dissertação de Mestrado Integrado em Engenharia Biológica </w:t>
      </w:r>
    </w:p>
    <w:p w14:paraId="193E17BB" w14:textId="77777777" w:rsidR="00743AB9" w:rsidRDefault="00743AB9" w:rsidP="00743AB9">
      <w:pPr>
        <w:spacing w:after="160" w:line="259" w:lineRule="auto"/>
        <w:ind w:left="0" w:right="0" w:firstLine="0"/>
        <w:jc w:val="center"/>
        <w:rPr>
          <w:szCs w:val="24"/>
        </w:rPr>
      </w:pPr>
    </w:p>
    <w:p w14:paraId="7E2113BC" w14:textId="77777777" w:rsidR="00743AB9" w:rsidRDefault="00743AB9" w:rsidP="00743AB9">
      <w:pPr>
        <w:spacing w:after="160" w:line="259" w:lineRule="auto"/>
        <w:ind w:left="0" w:right="0" w:firstLine="0"/>
        <w:rPr>
          <w:sz w:val="36"/>
          <w:szCs w:val="36"/>
        </w:rPr>
      </w:pPr>
    </w:p>
    <w:p w14:paraId="55FEFE7B" w14:textId="77777777" w:rsidR="00743AB9" w:rsidRPr="00435F13" w:rsidRDefault="00743AB9" w:rsidP="00743AB9">
      <w:pPr>
        <w:spacing w:after="160" w:line="259" w:lineRule="auto"/>
        <w:ind w:left="0" w:right="0" w:firstLine="0"/>
        <w:jc w:val="center"/>
        <w:rPr>
          <w:b/>
          <w:szCs w:val="24"/>
        </w:rPr>
      </w:pPr>
      <w:r>
        <w:rPr>
          <w:b/>
          <w:szCs w:val="24"/>
        </w:rPr>
        <w:t xml:space="preserve">                  </w:t>
      </w:r>
      <w:r w:rsidRPr="00435F13">
        <w:rPr>
          <w:b/>
          <w:szCs w:val="24"/>
        </w:rPr>
        <w:t>Orientadores:</w:t>
      </w:r>
    </w:p>
    <w:p w14:paraId="32759B90" w14:textId="77777777" w:rsidR="00743AB9" w:rsidRPr="00435F13" w:rsidRDefault="00743AB9" w:rsidP="00743AB9">
      <w:pPr>
        <w:pStyle w:val="Default"/>
        <w:spacing w:line="360" w:lineRule="auto"/>
        <w:jc w:val="right"/>
        <w:rPr>
          <w:rFonts w:ascii="Times New Roman" w:hAnsi="Times New Roman" w:cs="Times New Roman"/>
          <w:sz w:val="23"/>
          <w:szCs w:val="23"/>
        </w:rPr>
      </w:pPr>
      <w:r>
        <w:rPr>
          <w:rFonts w:ascii="Times New Roman" w:hAnsi="Times New Roman" w:cs="Times New Roman"/>
        </w:rPr>
        <w:t xml:space="preserve">Professora </w:t>
      </w:r>
      <w:r w:rsidRPr="00435F13">
        <w:rPr>
          <w:rFonts w:ascii="Times New Roman" w:hAnsi="Times New Roman" w:cs="Times New Roman"/>
        </w:rPr>
        <w:t xml:space="preserve">Doutora </w:t>
      </w:r>
      <w:r w:rsidRPr="00435F13">
        <w:rPr>
          <w:rFonts w:ascii="Times New Roman" w:hAnsi="Times New Roman" w:cs="Times New Roman"/>
          <w:bCs/>
          <w:sz w:val="23"/>
          <w:szCs w:val="23"/>
        </w:rPr>
        <w:t xml:space="preserve">Maria Dulce Carlos Antunes </w:t>
      </w:r>
    </w:p>
    <w:p w14:paraId="64DDA5D9" w14:textId="77777777" w:rsidR="00743AB9" w:rsidRDefault="00743AB9" w:rsidP="00743AB9">
      <w:pPr>
        <w:spacing w:after="160" w:line="360" w:lineRule="auto"/>
        <w:ind w:right="0"/>
        <w:rPr>
          <w:bCs/>
          <w:sz w:val="23"/>
          <w:szCs w:val="23"/>
        </w:rPr>
      </w:pPr>
      <w:r>
        <w:rPr>
          <w:bCs/>
          <w:sz w:val="23"/>
          <w:szCs w:val="23"/>
        </w:rPr>
        <w:t xml:space="preserve">                                                                     </w:t>
      </w:r>
      <w:r w:rsidRPr="00435F13">
        <w:rPr>
          <w:bCs/>
          <w:sz w:val="23"/>
          <w:szCs w:val="23"/>
        </w:rPr>
        <w:t>Doutora Custódia Maria Luís Gago</w:t>
      </w:r>
    </w:p>
    <w:p w14:paraId="28223780" w14:textId="28A042BF" w:rsidR="00743AB9" w:rsidRDefault="00743AB9" w:rsidP="00743AB9">
      <w:pPr>
        <w:spacing w:after="160" w:line="360" w:lineRule="auto"/>
        <w:ind w:left="3540" w:right="0" w:firstLine="708"/>
        <w:rPr>
          <w:bCs/>
          <w:sz w:val="23"/>
          <w:szCs w:val="23"/>
        </w:rPr>
      </w:pPr>
    </w:p>
    <w:p w14:paraId="43B7F64D" w14:textId="77777777" w:rsidR="00743AB9" w:rsidRPr="003C4EEC" w:rsidRDefault="00743AB9" w:rsidP="00743AB9">
      <w:pPr>
        <w:spacing w:after="160" w:line="360" w:lineRule="auto"/>
        <w:ind w:right="0"/>
        <w:jc w:val="center"/>
        <w:rPr>
          <w:b/>
          <w:bCs/>
          <w:szCs w:val="24"/>
        </w:rPr>
      </w:pPr>
      <w:r w:rsidRPr="003C4EEC">
        <w:rPr>
          <w:b/>
          <w:bCs/>
          <w:szCs w:val="24"/>
        </w:rPr>
        <w:t>Faro</w:t>
      </w:r>
    </w:p>
    <w:p w14:paraId="0370C8C9" w14:textId="0FCB3DA8" w:rsidR="00743AB9" w:rsidRPr="006E057E" w:rsidRDefault="00EB1819" w:rsidP="00743AB9">
      <w:pPr>
        <w:spacing w:after="160" w:line="360" w:lineRule="auto"/>
        <w:ind w:right="0"/>
        <w:jc w:val="center"/>
        <w:rPr>
          <w:b/>
        </w:rPr>
      </w:pPr>
      <w:r>
        <w:rPr>
          <w:b/>
        </w:rPr>
        <w:t>2017</w:t>
      </w:r>
    </w:p>
    <w:p w14:paraId="18D36E36" w14:textId="77777777" w:rsidR="00743AB9" w:rsidRDefault="00743AB9" w:rsidP="00743AB9">
      <w:pPr>
        <w:spacing w:after="160" w:line="259" w:lineRule="auto"/>
        <w:ind w:left="0" w:right="0" w:firstLine="0"/>
        <w:jc w:val="center"/>
        <w:rPr>
          <w:sz w:val="36"/>
          <w:szCs w:val="36"/>
        </w:rPr>
      </w:pPr>
    </w:p>
    <w:p w14:paraId="0237C106" w14:textId="77777777" w:rsidR="00743AB9" w:rsidRDefault="00743AB9" w:rsidP="00743AB9">
      <w:pPr>
        <w:spacing w:after="160" w:line="259" w:lineRule="auto"/>
        <w:ind w:left="0" w:right="0" w:firstLine="0"/>
        <w:jc w:val="center"/>
        <w:rPr>
          <w:sz w:val="36"/>
          <w:szCs w:val="36"/>
        </w:rPr>
      </w:pPr>
    </w:p>
    <w:p w14:paraId="2FF4A785" w14:textId="77777777" w:rsidR="00743AB9" w:rsidRDefault="00743AB9" w:rsidP="00743AB9">
      <w:pPr>
        <w:spacing w:after="160" w:line="259" w:lineRule="auto"/>
        <w:ind w:left="0" w:right="0" w:firstLine="0"/>
        <w:jc w:val="center"/>
        <w:rPr>
          <w:sz w:val="36"/>
          <w:szCs w:val="36"/>
        </w:rPr>
      </w:pPr>
    </w:p>
    <w:p w14:paraId="57CB76D4" w14:textId="77777777" w:rsidR="00743AB9" w:rsidRDefault="00743AB9" w:rsidP="00743AB9">
      <w:pPr>
        <w:spacing w:after="160" w:line="259" w:lineRule="auto"/>
        <w:ind w:left="0" w:right="0" w:firstLine="0"/>
        <w:jc w:val="center"/>
        <w:rPr>
          <w:szCs w:val="24"/>
        </w:rPr>
      </w:pPr>
      <w:r>
        <w:rPr>
          <w:sz w:val="36"/>
          <w:szCs w:val="36"/>
        </w:rPr>
        <w:t>AVALIAÇÃO QUALITATIVA DOS FRUTOS DE ECÓTIPOS</w:t>
      </w:r>
      <w:r w:rsidR="00745734">
        <w:rPr>
          <w:sz w:val="36"/>
          <w:szCs w:val="36"/>
        </w:rPr>
        <w:t>/CULTIVARES</w:t>
      </w:r>
      <w:r>
        <w:rPr>
          <w:sz w:val="36"/>
          <w:szCs w:val="36"/>
        </w:rPr>
        <w:t xml:space="preserve"> DE </w:t>
      </w:r>
      <w:r w:rsidRPr="006E057E">
        <w:rPr>
          <w:i/>
          <w:sz w:val="36"/>
          <w:szCs w:val="36"/>
        </w:rPr>
        <w:t>OPUNTIA-FICUS INDICA</w:t>
      </w:r>
      <w:r>
        <w:rPr>
          <w:sz w:val="36"/>
          <w:szCs w:val="36"/>
        </w:rPr>
        <w:t xml:space="preserve"> L. COLHIDOS A SUL DE PORTUGAL</w:t>
      </w:r>
    </w:p>
    <w:p w14:paraId="339A87DF" w14:textId="77777777" w:rsidR="00743AB9" w:rsidRPr="008954D5" w:rsidRDefault="00743AB9" w:rsidP="00743AB9">
      <w:pPr>
        <w:spacing w:after="160" w:line="259" w:lineRule="auto"/>
        <w:ind w:left="0" w:right="0" w:firstLine="0"/>
        <w:jc w:val="center"/>
        <w:rPr>
          <w:szCs w:val="24"/>
        </w:rPr>
      </w:pPr>
    </w:p>
    <w:p w14:paraId="4A5B3C38" w14:textId="77777777" w:rsidR="00743AB9" w:rsidRDefault="00743AB9" w:rsidP="00743AB9">
      <w:pPr>
        <w:spacing w:after="160" w:line="259" w:lineRule="auto"/>
        <w:ind w:left="0" w:right="0" w:firstLine="0"/>
        <w:rPr>
          <w:szCs w:val="24"/>
        </w:rPr>
      </w:pPr>
    </w:p>
    <w:p w14:paraId="292211C1" w14:textId="77777777" w:rsidR="00743AB9" w:rsidRDefault="00743AB9" w:rsidP="00743AB9">
      <w:pPr>
        <w:spacing w:after="160" w:line="259" w:lineRule="auto"/>
        <w:ind w:left="0" w:right="0" w:firstLine="0"/>
        <w:rPr>
          <w:szCs w:val="24"/>
        </w:rPr>
      </w:pPr>
    </w:p>
    <w:p w14:paraId="1B0FD1B0" w14:textId="77777777" w:rsidR="00743AB9" w:rsidRPr="00F47123" w:rsidRDefault="00743AB9" w:rsidP="00743AB9">
      <w:pPr>
        <w:spacing w:after="160" w:line="259" w:lineRule="auto"/>
        <w:ind w:left="0" w:right="0" w:firstLine="0"/>
        <w:jc w:val="center"/>
        <w:rPr>
          <w:b/>
          <w:sz w:val="28"/>
          <w:szCs w:val="28"/>
        </w:rPr>
      </w:pPr>
      <w:r w:rsidRPr="00F47123">
        <w:rPr>
          <w:b/>
          <w:sz w:val="28"/>
          <w:szCs w:val="28"/>
        </w:rPr>
        <w:t>Declaração de autoria de trabalho</w:t>
      </w:r>
    </w:p>
    <w:p w14:paraId="48EC05BC" w14:textId="77777777" w:rsidR="00743AB9" w:rsidRDefault="00743AB9" w:rsidP="00743AB9">
      <w:pPr>
        <w:spacing w:after="160" w:line="259" w:lineRule="auto"/>
        <w:ind w:left="0" w:right="0" w:firstLine="0"/>
        <w:jc w:val="center"/>
        <w:rPr>
          <w:szCs w:val="24"/>
        </w:rPr>
      </w:pPr>
    </w:p>
    <w:p w14:paraId="21A4CB00" w14:textId="77777777" w:rsidR="00743AB9" w:rsidRPr="008954D5" w:rsidRDefault="00743AB9" w:rsidP="00743AB9">
      <w:pPr>
        <w:spacing w:after="160" w:line="259" w:lineRule="auto"/>
        <w:ind w:left="0" w:right="0" w:firstLine="0"/>
        <w:jc w:val="center"/>
        <w:rPr>
          <w:szCs w:val="24"/>
        </w:rPr>
      </w:pPr>
    </w:p>
    <w:p w14:paraId="4A0C8056" w14:textId="77777777" w:rsidR="00743AB9" w:rsidRDefault="00743AB9" w:rsidP="00743AB9">
      <w:pPr>
        <w:spacing w:after="160" w:line="360" w:lineRule="auto"/>
        <w:ind w:left="0" w:right="0" w:firstLine="0"/>
        <w:rPr>
          <w:szCs w:val="24"/>
        </w:rPr>
      </w:pPr>
      <w:r w:rsidRPr="00F47123">
        <w:rPr>
          <w:szCs w:val="24"/>
        </w:rPr>
        <w:t>Declaro ser o(a) autor(a) deste trabalho, que é original e inédito. Autores e trabalhos consultados estão devidamente citados no texto e constam da listagem de referências incluída.</w:t>
      </w:r>
    </w:p>
    <w:p w14:paraId="5CA44C11" w14:textId="77777777" w:rsidR="00743AB9" w:rsidRDefault="00743AB9" w:rsidP="00743AB9">
      <w:pPr>
        <w:spacing w:after="160" w:line="360" w:lineRule="auto"/>
        <w:ind w:left="0" w:right="0" w:firstLine="0"/>
        <w:rPr>
          <w:szCs w:val="24"/>
        </w:rPr>
      </w:pPr>
    </w:p>
    <w:p w14:paraId="26070670"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768EBD7E"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5D087D90"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29C5E1A5"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276E32BC"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499D2E30"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2E01C3C0"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14BF6E33"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0EF35F04"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2990D0AE"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33A26DD7"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r w:rsidRPr="00F47123">
        <w:rPr>
          <w:rFonts w:eastAsiaTheme="minorEastAsia"/>
          <w:sz w:val="23"/>
          <w:szCs w:val="23"/>
        </w:rPr>
        <w:t xml:space="preserve">© </w:t>
      </w:r>
      <w:r>
        <w:rPr>
          <w:rFonts w:eastAsiaTheme="minorEastAsia"/>
          <w:sz w:val="23"/>
          <w:szCs w:val="23"/>
        </w:rPr>
        <w:t>Rita Goulão Valente</w:t>
      </w:r>
      <w:r w:rsidRPr="00F47123">
        <w:rPr>
          <w:rFonts w:eastAsiaTheme="minorEastAsia"/>
          <w:sz w:val="23"/>
          <w:szCs w:val="23"/>
        </w:rPr>
        <w:t xml:space="preserve"> </w:t>
      </w:r>
    </w:p>
    <w:p w14:paraId="795CA7A5" w14:textId="77777777" w:rsidR="00743AB9" w:rsidRDefault="00743AB9" w:rsidP="00743AB9">
      <w:pPr>
        <w:autoSpaceDE w:val="0"/>
        <w:autoSpaceDN w:val="0"/>
        <w:adjustRightInd w:val="0"/>
        <w:spacing w:after="0" w:line="240" w:lineRule="auto"/>
        <w:ind w:left="0" w:right="0" w:firstLine="0"/>
        <w:jc w:val="left"/>
        <w:rPr>
          <w:rFonts w:eastAsiaTheme="minorEastAsia"/>
          <w:sz w:val="23"/>
          <w:szCs w:val="23"/>
        </w:rPr>
      </w:pPr>
    </w:p>
    <w:p w14:paraId="72985D46" w14:textId="77777777" w:rsidR="00743AB9" w:rsidRPr="00F47123" w:rsidRDefault="00743AB9" w:rsidP="00743AB9">
      <w:pPr>
        <w:autoSpaceDE w:val="0"/>
        <w:autoSpaceDN w:val="0"/>
        <w:adjustRightInd w:val="0"/>
        <w:spacing w:after="0" w:line="240" w:lineRule="auto"/>
        <w:ind w:left="0" w:right="0" w:firstLine="0"/>
        <w:jc w:val="left"/>
        <w:rPr>
          <w:rFonts w:eastAsiaTheme="minorEastAsia"/>
          <w:sz w:val="23"/>
          <w:szCs w:val="23"/>
        </w:rPr>
      </w:pPr>
    </w:p>
    <w:p w14:paraId="5A3F3BD7" w14:textId="77777777" w:rsidR="00743AB9" w:rsidRPr="006E057E" w:rsidRDefault="00743AB9" w:rsidP="00743AB9">
      <w:pPr>
        <w:spacing w:after="160" w:line="360" w:lineRule="auto"/>
        <w:ind w:left="0" w:right="0" w:firstLine="0"/>
        <w:rPr>
          <w:rFonts w:eastAsiaTheme="minorEastAsia"/>
          <w:sz w:val="23"/>
          <w:szCs w:val="23"/>
        </w:rPr>
      </w:pPr>
      <w:r w:rsidRPr="00F47123">
        <w:rPr>
          <w:rFonts w:eastAsiaTheme="minorEastAsia"/>
          <w:sz w:val="23"/>
          <w:szCs w:val="23"/>
        </w:rPr>
        <w:t>A Universidade do Algarve tem o direito, perpétuo e sem limites geográficos, de arquivar e publicitar este trabalho através de exemplares impressos reproduzidos em papel ou de forma digital, ou por qualquer outro meio conhecido ou que venha a ser inventado, de o divulgar através de repositórios científicos e de admitir a sua cópia e distribuição com objetivos educacionais ou de investigação, não comerciai</w:t>
      </w:r>
      <w:r>
        <w:rPr>
          <w:rFonts w:eastAsiaTheme="minorEastAsia"/>
          <w:sz w:val="23"/>
          <w:szCs w:val="23"/>
        </w:rPr>
        <w:t>s, desde que seja dado crédito ao</w:t>
      </w:r>
      <w:r w:rsidRPr="00F47123">
        <w:rPr>
          <w:rFonts w:eastAsiaTheme="minorEastAsia"/>
          <w:sz w:val="23"/>
          <w:szCs w:val="23"/>
        </w:rPr>
        <w:t xml:space="preserve"> autor e editor.</w:t>
      </w:r>
    </w:p>
    <w:p w14:paraId="46E79939" w14:textId="77777777" w:rsidR="00743AB9" w:rsidRPr="008C1630" w:rsidRDefault="00743AB9" w:rsidP="00743AB9">
      <w:pPr>
        <w:spacing w:line="360" w:lineRule="auto"/>
        <w:jc w:val="center"/>
        <w:rPr>
          <w:b/>
          <w:sz w:val="36"/>
          <w:szCs w:val="36"/>
        </w:rPr>
      </w:pPr>
      <w:r w:rsidRPr="008C1630">
        <w:rPr>
          <w:b/>
          <w:sz w:val="36"/>
          <w:szCs w:val="36"/>
        </w:rPr>
        <w:lastRenderedPageBreak/>
        <w:t>Agradecimentos</w:t>
      </w:r>
    </w:p>
    <w:p w14:paraId="3DEDEBAF" w14:textId="77777777" w:rsidR="00743AB9" w:rsidRDefault="00743AB9" w:rsidP="00743AB9">
      <w:pPr>
        <w:spacing w:line="360" w:lineRule="auto"/>
        <w:rPr>
          <w:szCs w:val="24"/>
        </w:rPr>
      </w:pPr>
    </w:p>
    <w:p w14:paraId="6B777974" w14:textId="77777777" w:rsidR="00743AB9" w:rsidRDefault="00743AB9" w:rsidP="00743AB9">
      <w:pPr>
        <w:spacing w:after="200" w:line="360" w:lineRule="auto"/>
        <w:ind w:left="0" w:right="0" w:firstLine="0"/>
        <w:rPr>
          <w:rFonts w:eastAsia="Calibri"/>
          <w:color w:val="auto"/>
          <w:szCs w:val="24"/>
          <w:lang w:eastAsia="en-US"/>
        </w:rPr>
      </w:pPr>
    </w:p>
    <w:p w14:paraId="617B5205" w14:textId="77777777" w:rsidR="00743AB9" w:rsidRPr="009754B8" w:rsidRDefault="00743AB9" w:rsidP="00743AB9">
      <w:pPr>
        <w:spacing w:after="200" w:line="360" w:lineRule="auto"/>
        <w:ind w:left="0" w:right="0" w:firstLine="0"/>
        <w:rPr>
          <w:rFonts w:eastAsia="Calibri"/>
          <w:color w:val="auto"/>
          <w:szCs w:val="24"/>
          <w:lang w:eastAsia="en-US"/>
        </w:rPr>
      </w:pPr>
      <w:r w:rsidRPr="009754B8">
        <w:rPr>
          <w:rFonts w:eastAsia="Calibri"/>
          <w:color w:val="auto"/>
          <w:szCs w:val="24"/>
          <w:lang w:eastAsia="en-US"/>
        </w:rPr>
        <w:t>Ao longo da realização desta dissertação devo o meu eterno agradecimento a inúmeras pessoas sem as quais não teria sido possível a sua concretização.</w:t>
      </w:r>
    </w:p>
    <w:p w14:paraId="530685D2" w14:textId="77777777" w:rsidR="006874A4" w:rsidRDefault="00743AB9" w:rsidP="00743AB9">
      <w:pPr>
        <w:spacing w:after="200" w:line="360" w:lineRule="auto"/>
        <w:ind w:left="0" w:right="0" w:firstLine="0"/>
        <w:rPr>
          <w:rFonts w:eastAsia="Calibri"/>
          <w:color w:val="auto"/>
          <w:szCs w:val="24"/>
          <w:lang w:val="pt-BR" w:eastAsia="en-US"/>
        </w:rPr>
      </w:pPr>
      <w:r w:rsidRPr="009754B8">
        <w:rPr>
          <w:rFonts w:eastAsia="Calibri"/>
          <w:color w:val="auto"/>
          <w:szCs w:val="24"/>
          <w:lang w:eastAsia="en-US"/>
        </w:rPr>
        <w:t xml:space="preserve">À Professora Doutora </w:t>
      </w:r>
      <w:r w:rsidRPr="009754B8">
        <w:rPr>
          <w:rFonts w:eastAsia="Calibri"/>
          <w:color w:val="auto"/>
          <w:szCs w:val="24"/>
          <w:lang w:val="pt-BR" w:eastAsia="en-US"/>
        </w:rPr>
        <w:t>Maria Dulce Carlos Antunes</w:t>
      </w:r>
      <w:r w:rsidR="006874A4">
        <w:rPr>
          <w:rFonts w:eastAsia="Calibri"/>
          <w:color w:val="auto"/>
          <w:szCs w:val="24"/>
          <w:lang w:val="pt-BR" w:eastAsia="en-US"/>
        </w:rPr>
        <w:t>, por me ter deixado fazer parte do</w:t>
      </w:r>
      <w:r w:rsidR="006874A4">
        <w:t xml:space="preserve"> projeto FIGO-DA-ÍNDIA - “Cooperação para a Inovação no Figo-da-Índia: fruto desidratado”, com toda a sua disponibilidade, orientação e simpatia.</w:t>
      </w:r>
    </w:p>
    <w:p w14:paraId="3C48BABB" w14:textId="77777777" w:rsidR="00743AB9" w:rsidRPr="009754B8" w:rsidRDefault="00743AB9" w:rsidP="00743AB9">
      <w:pPr>
        <w:spacing w:after="200" w:line="360" w:lineRule="auto"/>
        <w:ind w:left="0" w:right="0" w:firstLine="0"/>
        <w:rPr>
          <w:rFonts w:eastAsia="Calibri"/>
          <w:color w:val="auto"/>
          <w:szCs w:val="24"/>
          <w:lang w:val="pt-BR" w:eastAsia="en-US"/>
        </w:rPr>
      </w:pPr>
      <w:r w:rsidRPr="009754B8">
        <w:rPr>
          <w:rFonts w:eastAsia="Calibri"/>
          <w:color w:val="auto"/>
          <w:szCs w:val="24"/>
          <w:lang w:val="pt-BR" w:eastAsia="en-US"/>
        </w:rPr>
        <w:t>À Doutora Custódia Maria Luís Gago, pelo total apoio, disponibilidade em esclarecer quaisquer dúvidas, pelo saber que transmitiu, pela total colaboração no solucionar de problemas que foram surgindo e pela sua paciência.</w:t>
      </w:r>
    </w:p>
    <w:p w14:paraId="4D3071EC" w14:textId="77777777" w:rsidR="00743AB9" w:rsidRPr="009754B8" w:rsidRDefault="00743AB9" w:rsidP="00743AB9">
      <w:pPr>
        <w:autoSpaceDE w:val="0"/>
        <w:autoSpaceDN w:val="0"/>
        <w:adjustRightInd w:val="0"/>
        <w:spacing w:after="0" w:line="360" w:lineRule="auto"/>
        <w:ind w:left="0" w:right="0" w:firstLine="0"/>
        <w:rPr>
          <w:rFonts w:eastAsia="Calibri"/>
          <w:szCs w:val="24"/>
          <w:lang w:val="pt-BR" w:eastAsia="en-US"/>
        </w:rPr>
      </w:pPr>
      <w:r w:rsidRPr="009754B8">
        <w:rPr>
          <w:rFonts w:eastAsia="Calibri"/>
          <w:szCs w:val="24"/>
          <w:lang w:val="pt-BR" w:eastAsia="en-US"/>
        </w:rPr>
        <w:t>À Adriana Guerreiro, pela amabilidade, boa disposição e pelo espírito de equipa e de entreajuda.</w:t>
      </w:r>
    </w:p>
    <w:p w14:paraId="568F4A58" w14:textId="77777777" w:rsidR="00743AB9" w:rsidRPr="009754B8" w:rsidRDefault="00743AB9" w:rsidP="00743AB9">
      <w:pPr>
        <w:autoSpaceDE w:val="0"/>
        <w:autoSpaceDN w:val="0"/>
        <w:adjustRightInd w:val="0"/>
        <w:spacing w:after="0" w:line="360" w:lineRule="auto"/>
        <w:ind w:left="0" w:right="0" w:firstLine="0"/>
        <w:rPr>
          <w:rFonts w:eastAsia="Calibri"/>
          <w:szCs w:val="24"/>
          <w:lang w:val="pt-BR" w:eastAsia="en-US"/>
        </w:rPr>
      </w:pPr>
      <w:r w:rsidRPr="009754B8">
        <w:rPr>
          <w:rFonts w:eastAsia="Calibri"/>
          <w:szCs w:val="24"/>
          <w:lang w:val="pt-BR" w:eastAsia="en-US"/>
        </w:rPr>
        <w:t>Aos meus amigos, pela amizade e apoio demostrados ao longo da vida académica.</w:t>
      </w:r>
    </w:p>
    <w:p w14:paraId="5223E31E" w14:textId="77777777" w:rsidR="00743AB9" w:rsidRPr="009754B8" w:rsidRDefault="00743AB9" w:rsidP="00743AB9">
      <w:pPr>
        <w:spacing w:after="200" w:line="360" w:lineRule="auto"/>
        <w:ind w:left="0" w:right="0" w:firstLine="0"/>
        <w:rPr>
          <w:rFonts w:eastAsia="Calibri"/>
          <w:szCs w:val="24"/>
          <w:lang w:val="pt-BR" w:eastAsia="en-US"/>
        </w:rPr>
      </w:pPr>
      <w:r w:rsidRPr="009754B8">
        <w:rPr>
          <w:rFonts w:eastAsia="Calibri"/>
          <w:szCs w:val="24"/>
          <w:lang w:val="pt-BR" w:eastAsia="en-US"/>
        </w:rPr>
        <w:t>Por último e não menos importante, um especial agradecimento à minha família, à minha mãe por todo o carinho e palavras de incentivo, ao meu pai pela exigência que me levou a superar qualquer desafio e ao meu irmão pelos seus conhecimentos e ajuda informática.</w:t>
      </w:r>
    </w:p>
    <w:p w14:paraId="45CCC4DF" w14:textId="77777777" w:rsidR="00743AB9" w:rsidRDefault="00743AB9" w:rsidP="00743AB9">
      <w:pPr>
        <w:jc w:val="right"/>
      </w:pPr>
    </w:p>
    <w:p w14:paraId="5BA98A15" w14:textId="77777777" w:rsidR="00743AB9" w:rsidRDefault="00743AB9" w:rsidP="00743AB9">
      <w:pPr>
        <w:jc w:val="right"/>
      </w:pPr>
    </w:p>
    <w:p w14:paraId="12233720" w14:textId="77777777" w:rsidR="00743AB9" w:rsidRDefault="00743AB9" w:rsidP="00743AB9">
      <w:pPr>
        <w:jc w:val="right"/>
      </w:pPr>
    </w:p>
    <w:p w14:paraId="6C0684E3" w14:textId="77777777" w:rsidR="00743AB9" w:rsidRDefault="00743AB9" w:rsidP="00743AB9">
      <w:pPr>
        <w:jc w:val="right"/>
      </w:pPr>
    </w:p>
    <w:p w14:paraId="5124F67E" w14:textId="77777777" w:rsidR="00743AB9" w:rsidRDefault="00743AB9" w:rsidP="00743AB9">
      <w:pPr>
        <w:jc w:val="right"/>
      </w:pPr>
      <w:r>
        <w:t xml:space="preserve">      Muito Obrigada!</w:t>
      </w:r>
    </w:p>
    <w:p w14:paraId="12112DB2" w14:textId="77777777" w:rsidR="001D47A4" w:rsidRDefault="001D47A4"/>
    <w:p w14:paraId="3812CB0C" w14:textId="77777777" w:rsidR="00743AB9" w:rsidRDefault="00743AB9"/>
    <w:p w14:paraId="44046CD7" w14:textId="77777777" w:rsidR="00743AB9" w:rsidRDefault="00743AB9"/>
    <w:p w14:paraId="78D05A01" w14:textId="77777777" w:rsidR="00793253" w:rsidRDefault="00793253"/>
    <w:p w14:paraId="6C19D9C3" w14:textId="77777777" w:rsidR="00793253" w:rsidRDefault="00793253"/>
    <w:p w14:paraId="36C4025B" w14:textId="77777777" w:rsidR="00793253" w:rsidRDefault="00793253"/>
    <w:p w14:paraId="189B21EC" w14:textId="77777777" w:rsidR="00793253" w:rsidRDefault="00793253"/>
    <w:p w14:paraId="12710B71" w14:textId="77777777" w:rsidR="00793253" w:rsidRDefault="00793253"/>
    <w:p w14:paraId="15D0A414" w14:textId="77777777" w:rsidR="00793253" w:rsidRDefault="00793253"/>
    <w:p w14:paraId="00334552" w14:textId="77777777" w:rsidR="00793253" w:rsidRDefault="00793253"/>
    <w:p w14:paraId="49F71B27" w14:textId="77777777" w:rsidR="00793253" w:rsidRDefault="00793253"/>
    <w:p w14:paraId="27D98222" w14:textId="77777777" w:rsidR="00793253" w:rsidRDefault="00793253"/>
    <w:p w14:paraId="5E6227D8" w14:textId="77777777" w:rsidR="00793253" w:rsidRDefault="00793253"/>
    <w:p w14:paraId="769F6CF8" w14:textId="77777777" w:rsidR="00793253" w:rsidRDefault="00793253"/>
    <w:p w14:paraId="5D246EB0" w14:textId="77777777" w:rsidR="00793253" w:rsidRDefault="00793253"/>
    <w:p w14:paraId="59B734DF" w14:textId="77777777" w:rsidR="00793253" w:rsidRDefault="00793253"/>
    <w:p w14:paraId="64742E2B" w14:textId="77777777" w:rsidR="00793253" w:rsidRDefault="00793253"/>
    <w:p w14:paraId="581C1BAF" w14:textId="77777777" w:rsidR="00793253" w:rsidRDefault="00793253"/>
    <w:p w14:paraId="495EF046" w14:textId="77777777" w:rsidR="00793253" w:rsidRDefault="00793253"/>
    <w:p w14:paraId="5A349641" w14:textId="77777777" w:rsidR="00793253" w:rsidRDefault="00793253"/>
    <w:p w14:paraId="2E7519E0" w14:textId="77777777" w:rsidR="00793253" w:rsidRDefault="00793253"/>
    <w:p w14:paraId="5D6E6D2E" w14:textId="77777777" w:rsidR="00793253" w:rsidRDefault="00793253"/>
    <w:p w14:paraId="705F7080" w14:textId="77777777" w:rsidR="00793253" w:rsidRDefault="00793253"/>
    <w:p w14:paraId="186BC2D5" w14:textId="77777777" w:rsidR="00793253" w:rsidRDefault="00793253"/>
    <w:p w14:paraId="791E213E" w14:textId="77777777" w:rsidR="00793253" w:rsidRDefault="00793253"/>
    <w:p w14:paraId="13EE4CC0" w14:textId="77777777" w:rsidR="00793253" w:rsidRDefault="00793253"/>
    <w:p w14:paraId="380313BA" w14:textId="77777777" w:rsidR="00793253" w:rsidRDefault="00793253"/>
    <w:p w14:paraId="6918A654" w14:textId="77777777" w:rsidR="00793253" w:rsidRDefault="00793253"/>
    <w:p w14:paraId="71B1C399" w14:textId="77777777" w:rsidR="00793253" w:rsidRDefault="00793253"/>
    <w:p w14:paraId="4BA9B1AD" w14:textId="77777777" w:rsidR="00793253" w:rsidRDefault="00793253"/>
    <w:p w14:paraId="481225AB" w14:textId="77777777" w:rsidR="00793253" w:rsidRDefault="00793253"/>
    <w:p w14:paraId="7B3BF991" w14:textId="77777777" w:rsidR="00793253" w:rsidRDefault="00793253"/>
    <w:p w14:paraId="46E237D2" w14:textId="77777777" w:rsidR="00793253" w:rsidRDefault="00793253"/>
    <w:p w14:paraId="6F844EC6" w14:textId="77777777" w:rsidR="00793253" w:rsidRDefault="00793253">
      <w:pPr>
        <w:sectPr w:rsidR="00793253">
          <w:headerReference w:type="default" r:id="rId11"/>
          <w:footerReference w:type="first" r:id="rId12"/>
          <w:pgSz w:w="11906" w:h="16838"/>
          <w:pgMar w:top="1417" w:right="1701" w:bottom="1417" w:left="1701" w:header="708" w:footer="708" w:gutter="0"/>
          <w:cols w:space="708"/>
          <w:docGrid w:linePitch="360"/>
        </w:sectPr>
      </w:pPr>
    </w:p>
    <w:p w14:paraId="41CEF9D1" w14:textId="77777777" w:rsidR="00743AB9" w:rsidRDefault="00743AB9" w:rsidP="00743AB9">
      <w:pPr>
        <w:ind w:left="0" w:firstLine="0"/>
        <w:rPr>
          <w:sz w:val="28"/>
          <w:szCs w:val="28"/>
        </w:rPr>
      </w:pPr>
    </w:p>
    <w:p w14:paraId="3C529261" w14:textId="77777777" w:rsidR="00743AB9" w:rsidRPr="00B30B92" w:rsidRDefault="00743AB9" w:rsidP="00743AB9">
      <w:pPr>
        <w:ind w:left="0" w:firstLine="0"/>
        <w:rPr>
          <w:sz w:val="28"/>
          <w:szCs w:val="28"/>
        </w:rPr>
      </w:pPr>
      <w:r w:rsidRPr="00B30B92">
        <w:rPr>
          <w:sz w:val="28"/>
          <w:szCs w:val="28"/>
        </w:rPr>
        <w:t>Abreviaturas</w:t>
      </w:r>
    </w:p>
    <w:p w14:paraId="46C669B5" w14:textId="77777777" w:rsidR="00743AB9" w:rsidRDefault="00743AB9" w:rsidP="00743AB9"/>
    <w:p w14:paraId="44D20FC2" w14:textId="77777777" w:rsidR="00743AB9" w:rsidRDefault="00743AB9" w:rsidP="00743AB9">
      <w:r>
        <w:t xml:space="preserve">4-HB – </w:t>
      </w:r>
      <w:r>
        <w:rPr>
          <w:rFonts w:ascii="Calibri" w:hAnsi="Calibri"/>
        </w:rPr>
        <w:t>ρ</w:t>
      </w:r>
      <w:r>
        <w:t>-Hexilresorcinol</w:t>
      </w:r>
    </w:p>
    <w:p w14:paraId="49B3587F" w14:textId="77777777" w:rsidR="00743AB9" w:rsidRDefault="00743AB9" w:rsidP="00743AB9">
      <w:r>
        <w:t>ABS - Absorvância</w:t>
      </w:r>
    </w:p>
    <w:p w14:paraId="0056E3DF" w14:textId="77777777" w:rsidR="00743AB9" w:rsidRDefault="00743AB9" w:rsidP="00743AB9">
      <w:r>
        <w:t>ABTS – 2,2’- Azino-bis-3-etilbenzolina-6-sulfónico</w:t>
      </w:r>
    </w:p>
    <w:p w14:paraId="20708C6C" w14:textId="77777777" w:rsidR="00743AB9" w:rsidRDefault="00743AB9" w:rsidP="00743AB9">
      <w:r>
        <w:t xml:space="preserve"> ADN - Ácido desoxirribonucleico</w:t>
      </w:r>
    </w:p>
    <w:p w14:paraId="18C7DDBC" w14:textId="77777777" w:rsidR="00743AB9" w:rsidRDefault="00743AB9" w:rsidP="00743AB9">
      <w:r>
        <w:t>AlCl</w:t>
      </w:r>
      <w:r>
        <w:rPr>
          <w:vertAlign w:val="subscript"/>
        </w:rPr>
        <w:t>3</w:t>
      </w:r>
      <w:r>
        <w:t xml:space="preserve"> – Cloreto de alumínio</w:t>
      </w:r>
    </w:p>
    <w:p w14:paraId="469236A2" w14:textId="77777777" w:rsidR="00743AB9" w:rsidRDefault="00743AB9" w:rsidP="00743AB9">
      <w:r>
        <w:t>BHA – Butil-hidroxi-anisol</w:t>
      </w:r>
    </w:p>
    <w:p w14:paraId="7246CDAC" w14:textId="61B4B50A" w:rsidR="00743AB9" w:rsidRDefault="00743AB9" w:rsidP="00743AB9">
      <w:r>
        <w:t>BHT – Butil-hidroxi- tolueno</w:t>
      </w:r>
    </w:p>
    <w:p w14:paraId="6C9224F6" w14:textId="24027D18" w:rsidR="00734E90" w:rsidRDefault="00734E90" w:rsidP="00743AB9">
      <w:r>
        <w:t>CE – Cathequin equivalent</w:t>
      </w:r>
    </w:p>
    <w:p w14:paraId="214D441C" w14:textId="45736C6D" w:rsidR="00743AB9" w:rsidRDefault="00743AB9" w:rsidP="00743AB9">
      <w:r>
        <w:t>DPPH – 2,2- Difenil- 1-pricril-hidrozil</w:t>
      </w:r>
    </w:p>
    <w:p w14:paraId="78135B53" w14:textId="035F6EE7" w:rsidR="005B54E2" w:rsidRDefault="005B54E2" w:rsidP="00743AB9">
      <w:r>
        <w:t>GAE –</w:t>
      </w:r>
      <w:r w:rsidR="00734E90">
        <w:t xml:space="preserve"> G</w:t>
      </w:r>
      <w:r>
        <w:t>allic acid equivalent</w:t>
      </w:r>
    </w:p>
    <w:p w14:paraId="2C3AAD21" w14:textId="77777777" w:rsidR="00743AB9" w:rsidRDefault="00743AB9" w:rsidP="00743AB9">
      <w:r>
        <w:t>HCl – Ácido clorídrico</w:t>
      </w:r>
    </w:p>
    <w:p w14:paraId="6210A55A" w14:textId="77777777" w:rsidR="00743AB9" w:rsidRDefault="00743AB9" w:rsidP="00743AB9">
      <w:r>
        <w:t>HPLC-DAD – Cromatografia liquida de alta pressão com detetores de díodo</w:t>
      </w:r>
    </w:p>
    <w:p w14:paraId="33A449C9" w14:textId="77777777" w:rsidR="00743AB9" w:rsidRDefault="00743AB9" w:rsidP="00743AB9">
      <w:r>
        <w:t>Na</w:t>
      </w:r>
      <w:r>
        <w:rPr>
          <w:vertAlign w:val="subscript"/>
        </w:rPr>
        <w:t>2</w:t>
      </w:r>
      <w:r>
        <w:t>HPO</w:t>
      </w:r>
      <w:r>
        <w:rPr>
          <w:vertAlign w:val="subscript"/>
        </w:rPr>
        <w:t>4</w:t>
      </w:r>
      <w:r>
        <w:t xml:space="preserve"> - Fosfato dissódico </w:t>
      </w:r>
    </w:p>
    <w:p w14:paraId="40AF6090" w14:textId="77777777" w:rsidR="00743AB9" w:rsidRDefault="00743AB9" w:rsidP="00743AB9">
      <w:r>
        <w:t>NDGA - Nordihidroguaiarético</w:t>
      </w:r>
    </w:p>
    <w:p w14:paraId="2318452A" w14:textId="77777777" w:rsidR="00743AB9" w:rsidRDefault="00743AB9" w:rsidP="00743AB9">
      <w:r w:rsidRPr="009E0C5E">
        <w:t>NaH2PO</w:t>
      </w:r>
      <w:r>
        <w:rPr>
          <w:vertAlign w:val="subscript"/>
        </w:rPr>
        <w:t xml:space="preserve">4 </w:t>
      </w:r>
      <w:r>
        <w:t>- Fosfato monossódico</w:t>
      </w:r>
    </w:p>
    <w:p w14:paraId="75220F5B" w14:textId="77777777" w:rsidR="00743AB9" w:rsidRDefault="00743AB9" w:rsidP="00743AB9">
      <w:r>
        <w:t>NaOH – Hidróxido de sódio</w:t>
      </w:r>
    </w:p>
    <w:p w14:paraId="36B4119E" w14:textId="77777777" w:rsidR="00743AB9" w:rsidRDefault="00743AB9" w:rsidP="00743AB9">
      <w:r>
        <w:t>PG – Propil - galato</w:t>
      </w:r>
    </w:p>
    <w:p w14:paraId="3514A21B" w14:textId="77777777" w:rsidR="00743AB9" w:rsidRDefault="00743AB9" w:rsidP="00743AB9">
      <w:r>
        <w:t>RNS – Espécies reativas de azoto</w:t>
      </w:r>
    </w:p>
    <w:p w14:paraId="739BB920" w14:textId="331E1FB3" w:rsidR="00743AB9" w:rsidRDefault="00743AB9" w:rsidP="00743AB9">
      <w:r>
        <w:t xml:space="preserve">ROS – Espécies reativas de oxigénio </w:t>
      </w:r>
    </w:p>
    <w:p w14:paraId="25B2EE85" w14:textId="4025B893" w:rsidR="00734E90" w:rsidRDefault="00734E90" w:rsidP="00743AB9">
      <w:r>
        <w:t xml:space="preserve">QE – Quercetin equivalent </w:t>
      </w:r>
    </w:p>
    <w:p w14:paraId="381A003B" w14:textId="77777777" w:rsidR="00743AB9" w:rsidRDefault="00743AB9" w:rsidP="00743AB9">
      <w:r>
        <w:t>TBHQ – Terc- butil – hidroquinona</w:t>
      </w:r>
    </w:p>
    <w:p w14:paraId="588797CC" w14:textId="6D83DC7F" w:rsidR="00743AB9" w:rsidRDefault="00743AB9" w:rsidP="00743AB9">
      <w:r>
        <w:t>TDF – Teor de fibra total</w:t>
      </w:r>
    </w:p>
    <w:p w14:paraId="76AEF144" w14:textId="22117773" w:rsidR="00734E90" w:rsidRPr="00B50684" w:rsidRDefault="00734E90" w:rsidP="00743AB9">
      <w:pPr>
        <w:rPr>
          <w:lang w:val="en-US"/>
        </w:rPr>
      </w:pPr>
      <w:r w:rsidRPr="00B50684">
        <w:rPr>
          <w:lang w:val="en-US"/>
        </w:rPr>
        <w:t xml:space="preserve">TE </w:t>
      </w:r>
      <w:proofErr w:type="gramStart"/>
      <w:r w:rsidRPr="00B50684">
        <w:rPr>
          <w:lang w:val="en-US"/>
        </w:rPr>
        <w:t>-  Trolox</w:t>
      </w:r>
      <w:proofErr w:type="gramEnd"/>
      <w:r w:rsidRPr="00B50684">
        <w:rPr>
          <w:lang w:val="en-US"/>
        </w:rPr>
        <w:t xml:space="preserve"> equivalent</w:t>
      </w:r>
    </w:p>
    <w:p w14:paraId="64D74812" w14:textId="77777777" w:rsidR="00743AB9" w:rsidRPr="00BC6116" w:rsidRDefault="00743AB9" w:rsidP="00743AB9">
      <w:pPr>
        <w:rPr>
          <w:lang w:val="en-US"/>
        </w:rPr>
      </w:pPr>
      <w:r w:rsidRPr="00BC6116">
        <w:rPr>
          <w:lang w:val="en-US"/>
        </w:rPr>
        <w:t>TEAC – Trolox equivalent antioxidant capacity</w:t>
      </w:r>
    </w:p>
    <w:p w14:paraId="31F4C803" w14:textId="77777777" w:rsidR="00743AB9" w:rsidRPr="00B50684" w:rsidRDefault="00743AB9" w:rsidP="00743AB9">
      <w:pPr>
        <w:ind w:left="0" w:firstLine="0"/>
      </w:pPr>
      <w:r w:rsidRPr="00B50684">
        <w:t>THBP – Trihidroxibutilrofenona</w:t>
      </w:r>
    </w:p>
    <w:p w14:paraId="16A9DD08" w14:textId="77777777" w:rsidR="00743AB9" w:rsidRDefault="00743AB9" w:rsidP="00743AB9">
      <w:pPr>
        <w:ind w:left="0" w:firstLine="0"/>
      </w:pPr>
      <w:r>
        <w:t>Trolox – Ácido 2-carboxilico-6-hidroxi-2,5,7,8-tetrametilcromano</w:t>
      </w:r>
    </w:p>
    <w:p w14:paraId="0D912964" w14:textId="77777777" w:rsidR="00743AB9" w:rsidRDefault="00743AB9" w:rsidP="00743AB9">
      <w:pPr>
        <w:ind w:left="0" w:firstLine="0"/>
      </w:pPr>
      <w:r>
        <w:t>UV – ultravioleta</w:t>
      </w:r>
    </w:p>
    <w:p w14:paraId="14ED9E9F" w14:textId="77777777" w:rsidR="00743AB9" w:rsidRDefault="00743AB9" w:rsidP="00743AB9">
      <w:pPr>
        <w:ind w:left="0" w:firstLine="0"/>
      </w:pPr>
    </w:p>
    <w:p w14:paraId="3292449A" w14:textId="12398F97" w:rsidR="00743AB9" w:rsidRDefault="00743AB9" w:rsidP="00743AB9">
      <w:pPr>
        <w:ind w:left="0" w:firstLine="0"/>
      </w:pPr>
    </w:p>
    <w:p w14:paraId="305E883C" w14:textId="77777777" w:rsidR="00743AB9" w:rsidRDefault="00743AB9" w:rsidP="00743AB9">
      <w:r>
        <w:lastRenderedPageBreak/>
        <w:t>Resumo</w:t>
      </w:r>
    </w:p>
    <w:p w14:paraId="359D39CB" w14:textId="77777777" w:rsidR="00743AB9" w:rsidRDefault="00743AB9" w:rsidP="00743AB9"/>
    <w:p w14:paraId="6BBEEBF9" w14:textId="77777777" w:rsidR="00743AB9" w:rsidRDefault="00743AB9" w:rsidP="00743AB9">
      <w:pPr>
        <w:ind w:right="-1"/>
      </w:pPr>
      <w:r>
        <w:rPr>
          <w:i/>
        </w:rPr>
        <w:t>Opuntia-</w:t>
      </w:r>
      <w:r w:rsidRPr="006D7A57">
        <w:rPr>
          <w:i/>
        </w:rPr>
        <w:t>ficus indica</w:t>
      </w:r>
      <w:r>
        <w:rPr>
          <w:i/>
        </w:rPr>
        <w:t xml:space="preserve"> (</w:t>
      </w:r>
      <w:r>
        <w:t>L.) Mill é uma espécie de cato que se desenvolve em zonas áridas e semiáridas. Esta planta apresenta um elevado poder medicinal embora as suas características ainda sejam alvo de estudos.</w:t>
      </w:r>
    </w:p>
    <w:p w14:paraId="166F9763" w14:textId="77777777" w:rsidR="00743AB9" w:rsidRPr="004D2013" w:rsidRDefault="00743AB9" w:rsidP="00743AB9">
      <w:pPr>
        <w:ind w:left="0" w:right="-1" w:firstLine="0"/>
      </w:pPr>
      <w:r>
        <w:t>Este trabalho teve como principal objetivo caracterizar qualitativamente diferentes partes d</w:t>
      </w:r>
      <w:r w:rsidR="007F1B6E">
        <w:t xml:space="preserve">o figo-da-índia e em diferentes </w:t>
      </w:r>
      <w:r>
        <w:t>cultivares (</w:t>
      </w:r>
      <w:r w:rsidR="000025A2">
        <w:t>laranja, v</w:t>
      </w:r>
      <w:r>
        <w:t>erde, Rosso, Gialla), nomeadamente quanto aos compostos fenólicos, atividade antioxidante, teor de fib</w:t>
      </w:r>
      <w:r w:rsidR="00232E7F">
        <w:t>ra, açúcares e ácidos orgânicos</w:t>
      </w:r>
      <w:r>
        <w:t xml:space="preserve">. Foram também analisadas características qualitativas como cor (L*, a*, b*) firmeza, </w:t>
      </w:r>
      <w:r>
        <w:rPr>
          <w:rFonts w:ascii="Calibri" w:hAnsi="Calibri"/>
        </w:rPr>
        <w:t>°</w:t>
      </w:r>
      <w:r>
        <w:t>Brix, pH e acidez titulável.</w:t>
      </w:r>
    </w:p>
    <w:p w14:paraId="520F620B" w14:textId="159BC098" w:rsidR="00743AB9" w:rsidRDefault="00743AB9" w:rsidP="00743AB9">
      <w:pPr>
        <w:spacing w:line="360" w:lineRule="auto"/>
        <w:ind w:right="-1"/>
      </w:pPr>
      <w:r>
        <w:t>O teor de fenóis totais, flavonoides e taninos presentes na casca e polpa foram avaliados pela metodologia de Folin- Ciocalteau, cloreto de alumínio (AlCl</w:t>
      </w:r>
      <w:r w:rsidRPr="006D7A57">
        <w:rPr>
          <w:vertAlign w:val="subscript"/>
        </w:rPr>
        <w:t>3</w:t>
      </w:r>
      <w:r>
        <w:t xml:space="preserve">), vanilina em meio metanólico, respetivamente. </w:t>
      </w:r>
      <w:r w:rsidR="00072D34">
        <w:t>A</w:t>
      </w:r>
      <w:r w:rsidR="007125BD">
        <w:t>s</w:t>
      </w:r>
      <w:r w:rsidR="00072D34">
        <w:t xml:space="preserve"> </w:t>
      </w:r>
      <w:r>
        <w:t>betalaínas fo</w:t>
      </w:r>
      <w:r w:rsidR="00072D34">
        <w:t>ram</w:t>
      </w:r>
      <w:r>
        <w:t xml:space="preserve"> </w:t>
      </w:r>
      <w:r w:rsidR="00072D34">
        <w:t xml:space="preserve">quantificadas </w:t>
      </w:r>
      <w:r>
        <w:t>u</w:t>
      </w:r>
      <w:r w:rsidR="00072D34">
        <w:t>tilizando</w:t>
      </w:r>
      <w:r>
        <w:t xml:space="preserve"> um método espectrofotómetro</w:t>
      </w:r>
      <w:r w:rsidR="00072D34">
        <w:t xml:space="preserve"> e o teor de fibra avaliado p</w:t>
      </w:r>
      <w:r w:rsidR="00FF4FD4">
        <w:t>or um método enzimático e gravimétrico.</w:t>
      </w:r>
    </w:p>
    <w:p w14:paraId="7D939A18" w14:textId="77EC2EE9" w:rsidR="00743AB9" w:rsidRDefault="00743AB9" w:rsidP="00743AB9">
      <w:pPr>
        <w:spacing w:line="360" w:lineRule="auto"/>
        <w:ind w:right="-1"/>
      </w:pPr>
      <w:r>
        <w:t xml:space="preserve">A </w:t>
      </w:r>
      <w:proofErr w:type="gramStart"/>
      <w:r>
        <w:t>capacidade</w:t>
      </w:r>
      <w:proofErr w:type="gramEnd"/>
      <w:r>
        <w:t xml:space="preserve"> </w:t>
      </w:r>
      <w:proofErr w:type="gramStart"/>
      <w:r>
        <w:t>antioxidante</w:t>
      </w:r>
      <w:proofErr w:type="gramEnd"/>
      <w:r>
        <w:t xml:space="preserve"> foi </w:t>
      </w:r>
      <w:proofErr w:type="gramStart"/>
      <w:r>
        <w:t>determinada</w:t>
      </w:r>
      <w:proofErr w:type="gramEnd"/>
      <w:r>
        <w:t xml:space="preserve"> pelo</w:t>
      </w:r>
      <w:r w:rsidR="00D21D22">
        <w:t>s</w:t>
      </w:r>
      <w:r>
        <w:t xml:space="preserve"> método</w:t>
      </w:r>
      <w:r w:rsidR="00D21D22">
        <w:t>s</w:t>
      </w:r>
      <w:r>
        <w:t xml:space="preserve"> 2,2-di</w:t>
      </w:r>
      <w:r w:rsidR="00D21D22">
        <w:t>fenil-1-picril-hidrazila (DPPH) e</w:t>
      </w:r>
      <w:r>
        <w:t xml:space="preserve"> </w:t>
      </w:r>
      <w:r w:rsidRPr="003E38B4">
        <w:rPr>
          <w:i/>
        </w:rPr>
        <w:t>Trolox Equivalent Antioxidant Capacity</w:t>
      </w:r>
      <w:r>
        <w:rPr>
          <w:i/>
        </w:rPr>
        <w:t xml:space="preserve"> </w:t>
      </w:r>
      <w:r>
        <w:t xml:space="preserve">(TEAC). </w:t>
      </w:r>
      <w:r w:rsidR="00FF4FD4">
        <w:t>Para quantificar os ácidos orgânicos e os açúcares utilizou-se o</w:t>
      </w:r>
      <w:r>
        <w:t xml:space="preserve"> HPLC</w:t>
      </w:r>
      <w:r w:rsidR="00E16B03">
        <w:t>.</w:t>
      </w:r>
      <w:r>
        <w:t xml:space="preserve"> Verificou-se que figo-da-índia é um potencial antioxidante devido aos seus elevados teores, sempre mais elevados na casca. Na casca também foram verificados elevados valores de </w:t>
      </w:r>
      <w:r w:rsidR="00012A97">
        <w:t>açúcares</w:t>
      </w:r>
      <w:r>
        <w:t xml:space="preserve"> (frutose, sacarose e glucose) e ácidos orgânicos (propiónico, málico, tartárico). Este fruto é também uma boa fonte de fibra, principalmente na polpa</w:t>
      </w:r>
      <w:r w:rsidR="00D21D22">
        <w:t xml:space="preserve"> com sementes</w:t>
      </w:r>
      <w:r>
        <w:t xml:space="preserve">. </w:t>
      </w:r>
    </w:p>
    <w:p w14:paraId="228B7352" w14:textId="77777777" w:rsidR="00743AB9" w:rsidRDefault="00743AB9" w:rsidP="00743AB9">
      <w:pPr>
        <w:spacing w:line="360" w:lineRule="auto"/>
        <w:ind w:right="-1"/>
      </w:pPr>
    </w:p>
    <w:p w14:paraId="5AD3DA24" w14:textId="77777777" w:rsidR="00743AB9" w:rsidRDefault="00743AB9" w:rsidP="00743AB9">
      <w:pPr>
        <w:spacing w:line="360" w:lineRule="auto"/>
        <w:ind w:right="-1"/>
      </w:pPr>
    </w:p>
    <w:p w14:paraId="0C64909E" w14:textId="77777777" w:rsidR="00743AB9" w:rsidRDefault="00743AB9" w:rsidP="00743AB9">
      <w:pPr>
        <w:spacing w:line="360" w:lineRule="auto"/>
        <w:ind w:right="-1"/>
      </w:pPr>
    </w:p>
    <w:p w14:paraId="090CA257" w14:textId="77777777" w:rsidR="00743AB9" w:rsidRPr="00285C7E" w:rsidRDefault="00743AB9" w:rsidP="00743AB9">
      <w:pPr>
        <w:spacing w:line="360" w:lineRule="auto"/>
        <w:ind w:right="-1"/>
      </w:pPr>
      <w:r w:rsidRPr="00285C7E">
        <w:rPr>
          <w:b/>
        </w:rPr>
        <w:t xml:space="preserve">Palavras-chaves: </w:t>
      </w:r>
      <w:r>
        <w:t xml:space="preserve">Figo-da-índia, antioxidantes, radicais </w:t>
      </w:r>
      <w:proofErr w:type="gramStart"/>
      <w:r>
        <w:t>livres</w:t>
      </w:r>
      <w:proofErr w:type="gramEnd"/>
      <w:r>
        <w:t>, compostos fenólicos, atividade antioxidante</w:t>
      </w:r>
    </w:p>
    <w:p w14:paraId="44BCAC23" w14:textId="77777777" w:rsidR="00743AB9" w:rsidRDefault="00743AB9" w:rsidP="00743AB9">
      <w:pPr>
        <w:ind w:left="0" w:firstLine="0"/>
      </w:pPr>
    </w:p>
    <w:p w14:paraId="15248DF7" w14:textId="77777777" w:rsidR="00743AB9" w:rsidRDefault="00743AB9" w:rsidP="00743AB9">
      <w:pPr>
        <w:ind w:left="0" w:firstLine="0"/>
      </w:pPr>
    </w:p>
    <w:p w14:paraId="3666E8A4" w14:textId="77777777" w:rsidR="00743AB9" w:rsidRDefault="00743AB9" w:rsidP="00743AB9">
      <w:pPr>
        <w:ind w:left="0" w:firstLine="0"/>
      </w:pPr>
    </w:p>
    <w:p w14:paraId="24F79FFD" w14:textId="77777777" w:rsidR="00743AB9" w:rsidRDefault="00743AB9" w:rsidP="00743AB9">
      <w:pPr>
        <w:ind w:left="0" w:firstLine="0"/>
      </w:pPr>
    </w:p>
    <w:p w14:paraId="4AC18088" w14:textId="77777777" w:rsidR="00232E7F" w:rsidRDefault="00232E7F" w:rsidP="00232E7F">
      <w:pPr>
        <w:ind w:left="0" w:right="-1" w:firstLine="0"/>
      </w:pPr>
    </w:p>
    <w:p w14:paraId="7C6CB027" w14:textId="2BEAF878" w:rsidR="00232E7F" w:rsidRDefault="00232E7F" w:rsidP="00232E7F">
      <w:pPr>
        <w:ind w:left="0" w:right="-1" w:firstLine="0"/>
      </w:pPr>
    </w:p>
    <w:p w14:paraId="704ACD96" w14:textId="77777777" w:rsidR="00AC44FA" w:rsidRDefault="00AC44FA" w:rsidP="00232E7F">
      <w:pPr>
        <w:ind w:left="0" w:right="-1" w:firstLine="0"/>
      </w:pPr>
    </w:p>
    <w:p w14:paraId="70AEC4B2" w14:textId="77777777" w:rsidR="00743AB9" w:rsidRPr="00756C55" w:rsidRDefault="00743AB9" w:rsidP="00232E7F">
      <w:pPr>
        <w:ind w:left="0" w:right="-1" w:firstLine="0"/>
        <w:rPr>
          <w:lang w:val="en-GB"/>
        </w:rPr>
      </w:pPr>
      <w:r w:rsidRPr="00756C55">
        <w:rPr>
          <w:lang w:val="en-GB"/>
        </w:rPr>
        <w:lastRenderedPageBreak/>
        <w:t>Abstract</w:t>
      </w:r>
    </w:p>
    <w:p w14:paraId="7BBCDCAB" w14:textId="77777777" w:rsidR="00743AB9" w:rsidRPr="00756C55" w:rsidRDefault="00743AB9" w:rsidP="00743AB9">
      <w:pPr>
        <w:ind w:right="-1"/>
        <w:rPr>
          <w:lang w:val="en-GB"/>
        </w:rPr>
      </w:pPr>
    </w:p>
    <w:p w14:paraId="176A7DA4" w14:textId="77777777" w:rsidR="00743AB9" w:rsidRPr="001568B4" w:rsidRDefault="00743AB9" w:rsidP="00743AB9">
      <w:pPr>
        <w:tabs>
          <w:tab w:val="left" w:pos="7513"/>
        </w:tabs>
        <w:ind w:right="-1"/>
        <w:rPr>
          <w:lang w:val="en-US"/>
        </w:rPr>
      </w:pPr>
      <w:r w:rsidRPr="001568B4">
        <w:rPr>
          <w:i/>
          <w:lang w:val="en-US"/>
        </w:rPr>
        <w:t>Opuntia-ficus indica</w:t>
      </w:r>
      <w:r w:rsidRPr="001568B4">
        <w:rPr>
          <w:lang w:val="en-US"/>
        </w:rPr>
        <w:t xml:space="preserve"> </w:t>
      </w:r>
      <w:r>
        <w:rPr>
          <w:lang w:val="en-US"/>
        </w:rPr>
        <w:t>(</w:t>
      </w:r>
      <w:r w:rsidRPr="001568B4">
        <w:rPr>
          <w:lang w:val="en-US"/>
        </w:rPr>
        <w:t>L.</w:t>
      </w:r>
      <w:proofErr w:type="gramStart"/>
      <w:r>
        <w:rPr>
          <w:lang w:val="en-US"/>
        </w:rPr>
        <w:t>),</w:t>
      </w:r>
      <w:proofErr w:type="gramEnd"/>
      <w:r w:rsidRPr="001568B4">
        <w:rPr>
          <w:lang w:val="en-US"/>
        </w:rPr>
        <w:t xml:space="preserve"> is a species of cactus that grows in arid and semi</w:t>
      </w:r>
      <w:r>
        <w:rPr>
          <w:lang w:val="en-US"/>
        </w:rPr>
        <w:t>-</w:t>
      </w:r>
      <w:r w:rsidRPr="001568B4">
        <w:rPr>
          <w:lang w:val="en-US"/>
        </w:rPr>
        <w:t>arid areas. This plant</w:t>
      </w:r>
      <w:r>
        <w:rPr>
          <w:lang w:val="en-US"/>
        </w:rPr>
        <w:t xml:space="preserve"> is known to have a degree of</w:t>
      </w:r>
      <w:r w:rsidRPr="001568B4">
        <w:rPr>
          <w:lang w:val="en-US"/>
        </w:rPr>
        <w:t xml:space="preserve"> medicinal power although </w:t>
      </w:r>
      <w:r>
        <w:rPr>
          <w:lang w:val="en-US"/>
        </w:rPr>
        <w:t xml:space="preserve">some of </w:t>
      </w:r>
      <w:r w:rsidRPr="001568B4">
        <w:rPr>
          <w:lang w:val="en-US"/>
        </w:rPr>
        <w:t xml:space="preserve">its characteristics </w:t>
      </w:r>
      <w:r>
        <w:rPr>
          <w:lang w:val="en-US"/>
        </w:rPr>
        <w:t>are still subject of study</w:t>
      </w:r>
      <w:r w:rsidRPr="001568B4">
        <w:rPr>
          <w:lang w:val="en-US"/>
        </w:rPr>
        <w:t>.</w:t>
      </w:r>
    </w:p>
    <w:p w14:paraId="6B62B73F" w14:textId="3F9A8343" w:rsidR="00743AB9" w:rsidRPr="001568B4" w:rsidRDefault="00743AB9" w:rsidP="00743AB9">
      <w:pPr>
        <w:tabs>
          <w:tab w:val="left" w:pos="7513"/>
        </w:tabs>
        <w:ind w:right="-1"/>
        <w:rPr>
          <w:lang w:val="en-US"/>
        </w:rPr>
      </w:pPr>
      <w:r w:rsidRPr="001568B4">
        <w:rPr>
          <w:lang w:val="en-US"/>
        </w:rPr>
        <w:t>This work</w:t>
      </w:r>
      <w:r>
        <w:rPr>
          <w:lang w:val="en-US"/>
        </w:rPr>
        <w:t>’s</w:t>
      </w:r>
      <w:r w:rsidRPr="001568B4">
        <w:rPr>
          <w:lang w:val="en-US"/>
        </w:rPr>
        <w:t xml:space="preserve"> main goal was to </w:t>
      </w:r>
      <w:r w:rsidR="00AC44FA">
        <w:rPr>
          <w:lang w:val="en-US"/>
        </w:rPr>
        <w:t>charac</w:t>
      </w:r>
      <w:r>
        <w:rPr>
          <w:lang w:val="en-US"/>
        </w:rPr>
        <w:t>terize the quality of</w:t>
      </w:r>
      <w:r w:rsidRPr="001568B4">
        <w:rPr>
          <w:lang w:val="en-US"/>
        </w:rPr>
        <w:t xml:space="preserve"> </w:t>
      </w:r>
      <w:r>
        <w:rPr>
          <w:lang w:val="en-US"/>
        </w:rPr>
        <w:t>distinct</w:t>
      </w:r>
      <w:r w:rsidRPr="001568B4">
        <w:rPr>
          <w:lang w:val="en-US"/>
        </w:rPr>
        <w:t xml:space="preserve"> part</w:t>
      </w:r>
      <w:r>
        <w:rPr>
          <w:lang w:val="en-US"/>
        </w:rPr>
        <w:t>s</w:t>
      </w:r>
      <w:r w:rsidRPr="001568B4">
        <w:rPr>
          <w:lang w:val="en-US"/>
        </w:rPr>
        <w:t xml:space="preserve"> of </w:t>
      </w:r>
      <w:r>
        <w:rPr>
          <w:lang w:val="en-US"/>
        </w:rPr>
        <w:t>the p</w:t>
      </w:r>
      <w:r w:rsidRPr="001568B4">
        <w:rPr>
          <w:lang w:val="en-US"/>
        </w:rPr>
        <w:t xml:space="preserve">rickly pear </w:t>
      </w:r>
      <w:r>
        <w:rPr>
          <w:lang w:val="en-US"/>
        </w:rPr>
        <w:t>obtained from a group of</w:t>
      </w:r>
      <w:r w:rsidRPr="001568B4">
        <w:rPr>
          <w:lang w:val="en-US"/>
        </w:rPr>
        <w:t xml:space="preserve"> cultivars (Orange, </w:t>
      </w:r>
      <w:r>
        <w:rPr>
          <w:lang w:val="en-US"/>
        </w:rPr>
        <w:t>G</w:t>
      </w:r>
      <w:r w:rsidRPr="001568B4">
        <w:rPr>
          <w:lang w:val="en-US"/>
        </w:rPr>
        <w:t xml:space="preserve">reen, Rosso, </w:t>
      </w:r>
      <w:r>
        <w:rPr>
          <w:lang w:val="en-US"/>
        </w:rPr>
        <w:t>Gialla</w:t>
      </w:r>
      <w:r w:rsidRPr="001568B4">
        <w:rPr>
          <w:lang w:val="en-US"/>
        </w:rPr>
        <w:t>)</w:t>
      </w:r>
      <w:r>
        <w:rPr>
          <w:lang w:val="en-US"/>
        </w:rPr>
        <w:t xml:space="preserve">, namely </w:t>
      </w:r>
      <w:r w:rsidRPr="001568B4">
        <w:rPr>
          <w:lang w:val="en-US"/>
        </w:rPr>
        <w:t xml:space="preserve">phenolic compounds, antioxidant activity, fiber content, </w:t>
      </w:r>
      <w:r>
        <w:rPr>
          <w:lang w:val="en-US"/>
        </w:rPr>
        <w:t xml:space="preserve">and evaluate the presence of </w:t>
      </w:r>
      <w:r w:rsidRPr="001568B4">
        <w:rPr>
          <w:lang w:val="en-US"/>
        </w:rPr>
        <w:t xml:space="preserve">sugar </w:t>
      </w:r>
      <w:r>
        <w:rPr>
          <w:lang w:val="en-US"/>
        </w:rPr>
        <w:t>and organics acids</w:t>
      </w:r>
      <w:r w:rsidR="00232E7F">
        <w:rPr>
          <w:lang w:val="en-US"/>
        </w:rPr>
        <w:t>.</w:t>
      </w:r>
      <w:r>
        <w:rPr>
          <w:lang w:val="en-US"/>
        </w:rPr>
        <w:t xml:space="preserve"> Q</w:t>
      </w:r>
      <w:r w:rsidRPr="001568B4">
        <w:rPr>
          <w:lang w:val="en-US"/>
        </w:rPr>
        <w:t xml:space="preserve">uality characteristics such as color </w:t>
      </w:r>
      <w:r>
        <w:rPr>
          <w:lang w:val="en-US"/>
        </w:rPr>
        <w:t xml:space="preserve">(L*, a*, b*), firmness, Brix, </w:t>
      </w:r>
      <w:r w:rsidR="000025A2">
        <w:rPr>
          <w:lang w:val="en-US"/>
        </w:rPr>
        <w:t>pH,</w:t>
      </w:r>
      <w:r w:rsidRPr="001568B4">
        <w:rPr>
          <w:lang w:val="en-US"/>
        </w:rPr>
        <w:t xml:space="preserve"> and titratable acidity</w:t>
      </w:r>
      <w:r>
        <w:rPr>
          <w:lang w:val="en-US"/>
        </w:rPr>
        <w:t xml:space="preserve"> </w:t>
      </w:r>
      <w:r w:rsidRPr="001568B4">
        <w:rPr>
          <w:lang w:val="en-US"/>
        </w:rPr>
        <w:t xml:space="preserve">were </w:t>
      </w:r>
      <w:r>
        <w:rPr>
          <w:lang w:val="en-US"/>
        </w:rPr>
        <w:t xml:space="preserve">also </w:t>
      </w:r>
      <w:r w:rsidR="00232E7F" w:rsidRPr="001568B4">
        <w:rPr>
          <w:lang w:val="en-US"/>
        </w:rPr>
        <w:t>analyzed</w:t>
      </w:r>
      <w:r w:rsidR="00232E7F">
        <w:rPr>
          <w:lang w:val="en-US"/>
        </w:rPr>
        <w:t>.</w:t>
      </w:r>
    </w:p>
    <w:p w14:paraId="451CCE58" w14:textId="4571ACBF" w:rsidR="00743AB9" w:rsidRPr="001568B4" w:rsidRDefault="00743AB9" w:rsidP="00743AB9">
      <w:pPr>
        <w:tabs>
          <w:tab w:val="left" w:pos="7513"/>
        </w:tabs>
        <w:ind w:right="-1"/>
        <w:rPr>
          <w:lang w:val="en-US"/>
        </w:rPr>
      </w:pPr>
      <w:r w:rsidRPr="001568B4">
        <w:rPr>
          <w:lang w:val="en-US"/>
        </w:rPr>
        <w:t xml:space="preserve">The content </w:t>
      </w:r>
      <w:r>
        <w:rPr>
          <w:lang w:val="en-US"/>
        </w:rPr>
        <w:t xml:space="preserve">of </w:t>
      </w:r>
      <w:r w:rsidRPr="001568B4">
        <w:rPr>
          <w:lang w:val="en-US"/>
        </w:rPr>
        <w:t xml:space="preserve">phenol, flavonoids and tannins present in the peel and pulp </w:t>
      </w:r>
      <w:r>
        <w:rPr>
          <w:lang w:val="en-US"/>
        </w:rPr>
        <w:t xml:space="preserve">of the fruit </w:t>
      </w:r>
      <w:r w:rsidRPr="001568B4">
        <w:rPr>
          <w:lang w:val="en-US"/>
        </w:rPr>
        <w:t xml:space="preserve">were evaluated </w:t>
      </w:r>
      <w:r>
        <w:rPr>
          <w:lang w:val="en-US"/>
        </w:rPr>
        <w:t>according</w:t>
      </w:r>
      <w:r w:rsidR="000025A2">
        <w:rPr>
          <w:lang w:val="en-US"/>
        </w:rPr>
        <w:t xml:space="preserve"> </w:t>
      </w:r>
      <w:r>
        <w:rPr>
          <w:lang w:val="en-US"/>
        </w:rPr>
        <w:t xml:space="preserve">to </w:t>
      </w:r>
      <w:r w:rsidRPr="001568B4">
        <w:rPr>
          <w:lang w:val="en-US"/>
        </w:rPr>
        <w:t>Folin-Ciocalteau</w:t>
      </w:r>
      <w:r>
        <w:rPr>
          <w:lang w:val="en-US"/>
        </w:rPr>
        <w:t xml:space="preserve">’s </w:t>
      </w:r>
      <w:r w:rsidRPr="001568B4">
        <w:rPr>
          <w:lang w:val="en-US"/>
        </w:rPr>
        <w:t xml:space="preserve">methodology, aluminum chloride (AlCl3), </w:t>
      </w:r>
      <w:r>
        <w:rPr>
          <w:lang w:val="en-US"/>
        </w:rPr>
        <w:t xml:space="preserve">and </w:t>
      </w:r>
      <w:r w:rsidR="00E16B03">
        <w:rPr>
          <w:lang w:val="en-US"/>
        </w:rPr>
        <w:t>vanillin in methanolic me</w:t>
      </w:r>
      <w:r w:rsidRPr="001568B4">
        <w:rPr>
          <w:lang w:val="en-US"/>
        </w:rPr>
        <w:t>dium, respectively. For betalains</w:t>
      </w:r>
      <w:r>
        <w:rPr>
          <w:lang w:val="en-US"/>
        </w:rPr>
        <w:t xml:space="preserve"> detection</w:t>
      </w:r>
      <w:r w:rsidRPr="001568B4">
        <w:rPr>
          <w:lang w:val="en-US"/>
        </w:rPr>
        <w:t xml:space="preserve"> a spectrophotometr</w:t>
      </w:r>
      <w:r>
        <w:rPr>
          <w:lang w:val="en-US"/>
        </w:rPr>
        <w:t>ic</w:t>
      </w:r>
      <w:r w:rsidRPr="001568B4">
        <w:rPr>
          <w:lang w:val="en-US"/>
        </w:rPr>
        <w:t xml:space="preserve"> method</w:t>
      </w:r>
      <w:r>
        <w:rPr>
          <w:lang w:val="en-US"/>
        </w:rPr>
        <w:t xml:space="preserve"> was used</w:t>
      </w:r>
      <w:r w:rsidRPr="001568B4">
        <w:rPr>
          <w:lang w:val="en-US"/>
        </w:rPr>
        <w:t>.</w:t>
      </w:r>
    </w:p>
    <w:p w14:paraId="7D24D384" w14:textId="77777777" w:rsidR="00743AB9" w:rsidRPr="001568B4" w:rsidRDefault="00743AB9" w:rsidP="00743AB9">
      <w:pPr>
        <w:tabs>
          <w:tab w:val="left" w:pos="7513"/>
        </w:tabs>
        <w:ind w:right="-1"/>
        <w:rPr>
          <w:lang w:val="en-US"/>
        </w:rPr>
      </w:pPr>
      <w:r w:rsidRPr="001568B4">
        <w:rPr>
          <w:lang w:val="en-US"/>
        </w:rPr>
        <w:t xml:space="preserve">The antioxidant capacity </w:t>
      </w:r>
      <w:r>
        <w:rPr>
          <w:lang w:val="en-US"/>
        </w:rPr>
        <w:t>was</w:t>
      </w:r>
      <w:r w:rsidRPr="001568B4">
        <w:rPr>
          <w:lang w:val="en-US"/>
        </w:rPr>
        <w:t xml:space="preserve"> determined by 2</w:t>
      </w:r>
      <w:proofErr w:type="gramStart"/>
      <w:r w:rsidRPr="001568B4">
        <w:rPr>
          <w:lang w:val="en-US"/>
        </w:rPr>
        <w:t>,2</w:t>
      </w:r>
      <w:proofErr w:type="gramEnd"/>
      <w:r w:rsidRPr="001568B4">
        <w:rPr>
          <w:lang w:val="en-US"/>
        </w:rPr>
        <w:t>-difenyl-1-picryl-hidrazila (DPPH), Trolox equivalent antioxidant capacity (TEAC).</w:t>
      </w:r>
    </w:p>
    <w:p w14:paraId="08D36F16" w14:textId="52159066" w:rsidR="00743AB9" w:rsidRPr="001568B4" w:rsidRDefault="00743AB9" w:rsidP="00743AB9">
      <w:pPr>
        <w:tabs>
          <w:tab w:val="left" w:pos="7513"/>
        </w:tabs>
        <w:ind w:right="-1"/>
        <w:rPr>
          <w:lang w:val="en-US"/>
        </w:rPr>
      </w:pPr>
      <w:r w:rsidRPr="001568B4">
        <w:rPr>
          <w:lang w:val="en-US"/>
        </w:rPr>
        <w:t>Fu</w:t>
      </w:r>
      <w:r>
        <w:rPr>
          <w:lang w:val="en-US"/>
        </w:rPr>
        <w:t>r</w:t>
      </w:r>
      <w:r w:rsidR="00E16B03">
        <w:rPr>
          <w:lang w:val="en-US"/>
        </w:rPr>
        <w:t>thermore, HPLC</w:t>
      </w:r>
      <w:r w:rsidRPr="001568B4">
        <w:rPr>
          <w:lang w:val="en-US"/>
        </w:rPr>
        <w:t xml:space="preserve"> was </w:t>
      </w:r>
      <w:r>
        <w:rPr>
          <w:lang w:val="en-US"/>
        </w:rPr>
        <w:t>performed in order</w:t>
      </w:r>
      <w:r w:rsidRPr="001568B4">
        <w:rPr>
          <w:lang w:val="en-US"/>
        </w:rPr>
        <w:t xml:space="preserve"> to classify organics acids and sugars</w:t>
      </w:r>
      <w:r>
        <w:rPr>
          <w:lang w:val="en-US"/>
        </w:rPr>
        <w:t>.</w:t>
      </w:r>
      <w:r w:rsidRPr="001568B4">
        <w:rPr>
          <w:lang w:val="en-US"/>
        </w:rPr>
        <w:t xml:space="preserve"> </w:t>
      </w:r>
      <w:r>
        <w:rPr>
          <w:lang w:val="en-US"/>
        </w:rPr>
        <w:t>T</w:t>
      </w:r>
      <w:r w:rsidRPr="001568B4">
        <w:rPr>
          <w:lang w:val="en-US"/>
        </w:rPr>
        <w:t>o assess fiber</w:t>
      </w:r>
      <w:r>
        <w:rPr>
          <w:lang w:val="en-US"/>
        </w:rPr>
        <w:t xml:space="preserve"> content</w:t>
      </w:r>
      <w:r w:rsidRPr="001568B4">
        <w:rPr>
          <w:lang w:val="en-US"/>
        </w:rPr>
        <w:t xml:space="preserve"> a</w:t>
      </w:r>
      <w:r>
        <w:rPr>
          <w:lang w:val="en-US"/>
        </w:rPr>
        <w:t>n</w:t>
      </w:r>
      <w:r w:rsidRPr="001568B4">
        <w:rPr>
          <w:lang w:val="en-US"/>
        </w:rPr>
        <w:t xml:space="preserve"> enzymatic and gravimetric method</w:t>
      </w:r>
      <w:r>
        <w:rPr>
          <w:lang w:val="en-US"/>
        </w:rPr>
        <w:t xml:space="preserve"> was employed</w:t>
      </w:r>
      <w:r w:rsidRPr="001568B4">
        <w:rPr>
          <w:lang w:val="en-US"/>
        </w:rPr>
        <w:t>.</w:t>
      </w:r>
    </w:p>
    <w:p w14:paraId="3259437C" w14:textId="77777777" w:rsidR="00743AB9" w:rsidRPr="001568B4" w:rsidRDefault="00743AB9" w:rsidP="00743AB9">
      <w:pPr>
        <w:tabs>
          <w:tab w:val="left" w:pos="7513"/>
        </w:tabs>
        <w:ind w:right="-1"/>
        <w:rPr>
          <w:lang w:val="en-US"/>
        </w:rPr>
      </w:pPr>
      <w:r w:rsidRPr="001568B4">
        <w:rPr>
          <w:lang w:val="en-US"/>
        </w:rPr>
        <w:t xml:space="preserve">It was found that </w:t>
      </w:r>
      <w:r>
        <w:rPr>
          <w:lang w:val="en-US"/>
        </w:rPr>
        <w:t xml:space="preserve">the </w:t>
      </w:r>
      <w:r w:rsidRPr="001568B4">
        <w:rPr>
          <w:lang w:val="en-US"/>
        </w:rPr>
        <w:t>prickly pear is a potential antioxidant</w:t>
      </w:r>
      <w:r>
        <w:rPr>
          <w:lang w:val="en-US"/>
        </w:rPr>
        <w:t>, a conclusion highlighted by</w:t>
      </w:r>
      <w:r w:rsidRPr="001568B4">
        <w:rPr>
          <w:lang w:val="en-US"/>
        </w:rPr>
        <w:t xml:space="preserve"> </w:t>
      </w:r>
      <w:r>
        <w:rPr>
          <w:lang w:val="en-US"/>
        </w:rPr>
        <w:t>the</w:t>
      </w:r>
      <w:r w:rsidRPr="001568B4">
        <w:rPr>
          <w:lang w:val="en-US"/>
        </w:rPr>
        <w:t xml:space="preserve"> </w:t>
      </w:r>
      <w:r>
        <w:rPr>
          <w:lang w:val="en-US"/>
        </w:rPr>
        <w:t>obtained</w:t>
      </w:r>
      <w:r w:rsidRPr="001568B4">
        <w:rPr>
          <w:lang w:val="en-US"/>
        </w:rPr>
        <w:t xml:space="preserve"> results</w:t>
      </w:r>
      <w:r>
        <w:rPr>
          <w:lang w:val="en-US"/>
        </w:rPr>
        <w:t xml:space="preserve"> which are</w:t>
      </w:r>
      <w:r w:rsidRPr="001568B4">
        <w:rPr>
          <w:lang w:val="en-US"/>
        </w:rPr>
        <w:t xml:space="preserve"> </w:t>
      </w:r>
      <w:r>
        <w:rPr>
          <w:lang w:val="en-US"/>
        </w:rPr>
        <w:t>consistently</w:t>
      </w:r>
      <w:r w:rsidRPr="001568B4">
        <w:rPr>
          <w:lang w:val="en-US"/>
        </w:rPr>
        <w:t xml:space="preserve"> higher in the peel</w:t>
      </w:r>
      <w:r>
        <w:rPr>
          <w:lang w:val="en-US"/>
        </w:rPr>
        <w:t xml:space="preserve"> of the fruit</w:t>
      </w:r>
      <w:r w:rsidRPr="001568B4">
        <w:rPr>
          <w:lang w:val="en-US"/>
        </w:rPr>
        <w:t>.</w:t>
      </w:r>
      <w:r>
        <w:rPr>
          <w:lang w:val="en-US"/>
        </w:rPr>
        <w:t xml:space="preserve"> It is also i</w:t>
      </w:r>
      <w:r w:rsidRPr="001568B4">
        <w:rPr>
          <w:lang w:val="en-US"/>
        </w:rPr>
        <w:t xml:space="preserve">n the peel </w:t>
      </w:r>
      <w:r>
        <w:rPr>
          <w:lang w:val="en-US"/>
        </w:rPr>
        <w:t>that</w:t>
      </w:r>
      <w:r w:rsidRPr="001568B4">
        <w:rPr>
          <w:lang w:val="en-US"/>
        </w:rPr>
        <w:t xml:space="preserve"> </w:t>
      </w:r>
      <w:r>
        <w:rPr>
          <w:lang w:val="en-US"/>
        </w:rPr>
        <w:t xml:space="preserve">a higher content of sugar (fructose, </w:t>
      </w:r>
      <w:r w:rsidR="000025A2">
        <w:rPr>
          <w:lang w:val="en-US"/>
        </w:rPr>
        <w:t>glucose,</w:t>
      </w:r>
      <w:r>
        <w:rPr>
          <w:lang w:val="en-US"/>
        </w:rPr>
        <w:t xml:space="preserve"> and sucrose) and organic acids (propionic, malic, tartaric). The fruit is a</w:t>
      </w:r>
      <w:r w:rsidRPr="001568B4">
        <w:rPr>
          <w:lang w:val="en-US"/>
        </w:rPr>
        <w:t xml:space="preserve"> good source of fiber</w:t>
      </w:r>
      <w:r>
        <w:rPr>
          <w:lang w:val="en-US"/>
        </w:rPr>
        <w:t xml:space="preserve"> as well</w:t>
      </w:r>
      <w:r w:rsidRPr="001568B4">
        <w:rPr>
          <w:lang w:val="en-US"/>
        </w:rPr>
        <w:t xml:space="preserve">, </w:t>
      </w:r>
      <w:r>
        <w:rPr>
          <w:lang w:val="en-US"/>
        </w:rPr>
        <w:t>particularly its</w:t>
      </w:r>
      <w:r w:rsidRPr="001568B4">
        <w:rPr>
          <w:lang w:val="en-US"/>
        </w:rPr>
        <w:t xml:space="preserve"> pulp.</w:t>
      </w:r>
    </w:p>
    <w:p w14:paraId="257EB122" w14:textId="77777777" w:rsidR="00743AB9" w:rsidRPr="00756C55" w:rsidRDefault="00743AB9" w:rsidP="00743AB9">
      <w:pPr>
        <w:rPr>
          <w:lang w:val="en-GB"/>
        </w:rPr>
      </w:pPr>
    </w:p>
    <w:p w14:paraId="085E2AF7" w14:textId="77777777" w:rsidR="00743AB9" w:rsidRPr="00756C55" w:rsidRDefault="00743AB9" w:rsidP="00743AB9">
      <w:pPr>
        <w:rPr>
          <w:lang w:val="en-GB"/>
        </w:rPr>
      </w:pPr>
    </w:p>
    <w:p w14:paraId="1FA2EF65" w14:textId="77777777" w:rsidR="00743AB9" w:rsidRPr="00756C55" w:rsidRDefault="00743AB9" w:rsidP="00743AB9">
      <w:pPr>
        <w:rPr>
          <w:lang w:val="en-GB"/>
        </w:rPr>
      </w:pPr>
      <w:r>
        <w:rPr>
          <w:lang w:val="en"/>
        </w:rPr>
        <w:t>Keyword: Prickly pear, antioxidants, free radicals, phenolic compounds, antioxidant activity</w:t>
      </w:r>
    </w:p>
    <w:p w14:paraId="48C6A8DE" w14:textId="77777777" w:rsidR="00743AB9" w:rsidRPr="00BC6116" w:rsidRDefault="00743AB9" w:rsidP="00743AB9">
      <w:pPr>
        <w:ind w:left="0" w:firstLine="0"/>
        <w:rPr>
          <w:lang w:val="en-US"/>
        </w:rPr>
      </w:pPr>
    </w:p>
    <w:p w14:paraId="084928D0" w14:textId="77777777" w:rsidR="00743AB9" w:rsidRPr="00BC6116" w:rsidRDefault="00743AB9" w:rsidP="00743AB9">
      <w:pPr>
        <w:ind w:left="0" w:firstLine="0"/>
        <w:rPr>
          <w:lang w:val="en-US"/>
        </w:rPr>
      </w:pPr>
    </w:p>
    <w:p w14:paraId="79AF7712" w14:textId="77777777" w:rsidR="00743AB9" w:rsidRPr="00BC6116" w:rsidRDefault="00743AB9" w:rsidP="00743AB9">
      <w:pPr>
        <w:ind w:left="0" w:firstLine="0"/>
        <w:rPr>
          <w:lang w:val="en-US"/>
        </w:rPr>
      </w:pPr>
    </w:p>
    <w:p w14:paraId="5B77E0A1" w14:textId="77777777" w:rsidR="00743AB9" w:rsidRPr="00BC6116" w:rsidRDefault="00743AB9" w:rsidP="00743AB9">
      <w:pPr>
        <w:ind w:left="0" w:firstLine="0"/>
        <w:rPr>
          <w:lang w:val="en-US"/>
        </w:rPr>
      </w:pPr>
    </w:p>
    <w:p w14:paraId="20F15A54" w14:textId="77777777" w:rsidR="00743AB9" w:rsidRPr="00BC6116" w:rsidRDefault="00743AB9" w:rsidP="00743AB9">
      <w:pPr>
        <w:ind w:left="0" w:firstLine="0"/>
        <w:rPr>
          <w:lang w:val="en-US"/>
        </w:rPr>
      </w:pPr>
    </w:p>
    <w:p w14:paraId="66231A2F" w14:textId="77777777" w:rsidR="00743AB9" w:rsidRPr="00BC6116" w:rsidRDefault="00743AB9" w:rsidP="00743AB9">
      <w:pPr>
        <w:ind w:left="0" w:firstLine="0"/>
        <w:rPr>
          <w:lang w:val="en-US"/>
        </w:rPr>
      </w:pPr>
    </w:p>
    <w:sdt>
      <w:sdtPr>
        <w:rPr>
          <w:rFonts w:ascii="Times New Roman" w:eastAsia="Times New Roman" w:hAnsi="Times New Roman" w:cs="Times New Roman"/>
          <w:color w:val="000000"/>
          <w:sz w:val="24"/>
          <w:szCs w:val="22"/>
        </w:rPr>
        <w:id w:val="-1250892190"/>
        <w:docPartObj>
          <w:docPartGallery w:val="Table of Contents"/>
          <w:docPartUnique/>
        </w:docPartObj>
      </w:sdtPr>
      <w:sdtEndPr>
        <w:rPr>
          <w:b/>
          <w:bCs/>
        </w:rPr>
      </w:sdtEndPr>
      <w:sdtContent>
        <w:p w14:paraId="6BB07CD3" w14:textId="77777777" w:rsidR="00793253" w:rsidRPr="00793253" w:rsidRDefault="00793253">
          <w:pPr>
            <w:pStyle w:val="Ttulodondice"/>
            <w:rPr>
              <w:rFonts w:ascii="Times New Roman" w:hAnsi="Times New Roman" w:cs="Times New Roman"/>
              <w:color w:val="auto"/>
            </w:rPr>
          </w:pPr>
          <w:r w:rsidRPr="00793253">
            <w:rPr>
              <w:rFonts w:ascii="Times New Roman" w:hAnsi="Times New Roman" w:cs="Times New Roman"/>
              <w:color w:val="auto"/>
            </w:rPr>
            <w:t xml:space="preserve">Índice Geral </w:t>
          </w:r>
        </w:p>
        <w:p w14:paraId="7043BA28" w14:textId="44DA1F48" w:rsidR="008E4A6F" w:rsidRDefault="00793253">
          <w:pPr>
            <w:pStyle w:val="ndice1"/>
            <w:tabs>
              <w:tab w:val="right" w:leader="dot" w:pos="8494"/>
            </w:tabs>
            <w:rPr>
              <w:rFonts w:asciiTheme="minorHAnsi" w:eastAsiaTheme="minorEastAsia" w:hAnsiTheme="minorHAnsi" w:cstheme="minorBidi"/>
              <w:noProof/>
              <w:color w:val="auto"/>
              <w:sz w:val="22"/>
            </w:rPr>
          </w:pPr>
          <w:r>
            <w:fldChar w:fldCharType="begin"/>
          </w:r>
          <w:r>
            <w:instrText xml:space="preserve"> TOC \o "1-4" \h \z \u </w:instrText>
          </w:r>
          <w:r>
            <w:fldChar w:fldCharType="separate"/>
          </w:r>
          <w:hyperlink w:anchor="_Toc479154804" w:history="1">
            <w:r w:rsidR="008E4A6F" w:rsidRPr="00A36430">
              <w:rPr>
                <w:rStyle w:val="Hiperligao"/>
                <w:rFonts w:eastAsiaTheme="majorEastAsia"/>
                <w:noProof/>
              </w:rPr>
              <w:t>1.Introdução</w:t>
            </w:r>
            <w:r w:rsidR="008E4A6F">
              <w:rPr>
                <w:noProof/>
                <w:webHidden/>
              </w:rPr>
              <w:tab/>
            </w:r>
            <w:r w:rsidR="008E4A6F">
              <w:rPr>
                <w:noProof/>
                <w:webHidden/>
              </w:rPr>
              <w:fldChar w:fldCharType="begin"/>
            </w:r>
            <w:r w:rsidR="008E4A6F">
              <w:rPr>
                <w:noProof/>
                <w:webHidden/>
              </w:rPr>
              <w:instrText xml:space="preserve"> PAGEREF _Toc479154804 \h </w:instrText>
            </w:r>
            <w:r w:rsidR="008E4A6F">
              <w:rPr>
                <w:noProof/>
                <w:webHidden/>
              </w:rPr>
            </w:r>
            <w:r w:rsidR="008E4A6F">
              <w:rPr>
                <w:noProof/>
                <w:webHidden/>
              </w:rPr>
              <w:fldChar w:fldCharType="separate"/>
            </w:r>
            <w:r w:rsidR="005F28B4">
              <w:rPr>
                <w:noProof/>
                <w:webHidden/>
              </w:rPr>
              <w:t>1</w:t>
            </w:r>
            <w:r w:rsidR="008E4A6F">
              <w:rPr>
                <w:noProof/>
                <w:webHidden/>
              </w:rPr>
              <w:fldChar w:fldCharType="end"/>
            </w:r>
          </w:hyperlink>
        </w:p>
        <w:p w14:paraId="71497CE0" w14:textId="50FCF2A4"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05" w:history="1">
            <w:r w:rsidR="008E4A6F" w:rsidRPr="00A36430">
              <w:rPr>
                <w:rStyle w:val="Hiperligao"/>
                <w:rFonts w:eastAsiaTheme="majorEastAsia"/>
                <w:noProof/>
              </w:rPr>
              <w:t>1.1 Classificação botânica</w:t>
            </w:r>
            <w:r w:rsidR="008E4A6F">
              <w:rPr>
                <w:noProof/>
                <w:webHidden/>
              </w:rPr>
              <w:tab/>
            </w:r>
            <w:r w:rsidR="008E4A6F">
              <w:rPr>
                <w:noProof/>
                <w:webHidden/>
              </w:rPr>
              <w:fldChar w:fldCharType="begin"/>
            </w:r>
            <w:r w:rsidR="008E4A6F">
              <w:rPr>
                <w:noProof/>
                <w:webHidden/>
              </w:rPr>
              <w:instrText xml:space="preserve"> PAGEREF _Toc479154805 \h </w:instrText>
            </w:r>
            <w:r w:rsidR="008E4A6F">
              <w:rPr>
                <w:noProof/>
                <w:webHidden/>
              </w:rPr>
            </w:r>
            <w:r w:rsidR="008E4A6F">
              <w:rPr>
                <w:noProof/>
                <w:webHidden/>
              </w:rPr>
              <w:fldChar w:fldCharType="separate"/>
            </w:r>
            <w:r w:rsidR="005F28B4">
              <w:rPr>
                <w:noProof/>
                <w:webHidden/>
              </w:rPr>
              <w:t>1</w:t>
            </w:r>
            <w:r w:rsidR="008E4A6F">
              <w:rPr>
                <w:noProof/>
                <w:webHidden/>
              </w:rPr>
              <w:fldChar w:fldCharType="end"/>
            </w:r>
          </w:hyperlink>
        </w:p>
        <w:p w14:paraId="2B489064" w14:textId="6C2F929F"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06" w:history="1">
            <w:r w:rsidR="008E4A6F" w:rsidRPr="00A36430">
              <w:rPr>
                <w:rStyle w:val="Hiperligao"/>
                <w:rFonts w:eastAsiaTheme="majorEastAsia"/>
                <w:noProof/>
              </w:rPr>
              <w:t>1.2 Distribuição geográfica</w:t>
            </w:r>
            <w:r w:rsidR="008E4A6F">
              <w:rPr>
                <w:noProof/>
                <w:webHidden/>
              </w:rPr>
              <w:tab/>
            </w:r>
            <w:r w:rsidR="008E4A6F">
              <w:rPr>
                <w:noProof/>
                <w:webHidden/>
              </w:rPr>
              <w:fldChar w:fldCharType="begin"/>
            </w:r>
            <w:r w:rsidR="008E4A6F">
              <w:rPr>
                <w:noProof/>
                <w:webHidden/>
              </w:rPr>
              <w:instrText xml:space="preserve"> PAGEREF _Toc479154806 \h </w:instrText>
            </w:r>
            <w:r w:rsidR="008E4A6F">
              <w:rPr>
                <w:noProof/>
                <w:webHidden/>
              </w:rPr>
            </w:r>
            <w:r w:rsidR="008E4A6F">
              <w:rPr>
                <w:noProof/>
                <w:webHidden/>
              </w:rPr>
              <w:fldChar w:fldCharType="separate"/>
            </w:r>
            <w:r w:rsidR="005F28B4">
              <w:rPr>
                <w:noProof/>
                <w:webHidden/>
              </w:rPr>
              <w:t>2</w:t>
            </w:r>
            <w:r w:rsidR="008E4A6F">
              <w:rPr>
                <w:noProof/>
                <w:webHidden/>
              </w:rPr>
              <w:fldChar w:fldCharType="end"/>
            </w:r>
          </w:hyperlink>
        </w:p>
        <w:p w14:paraId="19D81F47" w14:textId="6CF11F82"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07" w:history="1">
            <w:r w:rsidR="008E4A6F" w:rsidRPr="00A36430">
              <w:rPr>
                <w:rStyle w:val="Hiperligao"/>
                <w:rFonts w:eastAsia="Calibri"/>
                <w:noProof/>
                <w:lang w:eastAsia="en-US"/>
              </w:rPr>
              <w:t>1.3. Propriedades qualitativas do fruto</w:t>
            </w:r>
            <w:r w:rsidR="008E4A6F">
              <w:rPr>
                <w:noProof/>
                <w:webHidden/>
              </w:rPr>
              <w:tab/>
            </w:r>
            <w:r w:rsidR="008E4A6F">
              <w:rPr>
                <w:noProof/>
                <w:webHidden/>
              </w:rPr>
              <w:fldChar w:fldCharType="begin"/>
            </w:r>
            <w:r w:rsidR="008E4A6F">
              <w:rPr>
                <w:noProof/>
                <w:webHidden/>
              </w:rPr>
              <w:instrText xml:space="preserve"> PAGEREF _Toc479154807 \h </w:instrText>
            </w:r>
            <w:r w:rsidR="008E4A6F">
              <w:rPr>
                <w:noProof/>
                <w:webHidden/>
              </w:rPr>
            </w:r>
            <w:r w:rsidR="008E4A6F">
              <w:rPr>
                <w:noProof/>
                <w:webHidden/>
              </w:rPr>
              <w:fldChar w:fldCharType="separate"/>
            </w:r>
            <w:r w:rsidR="005F28B4">
              <w:rPr>
                <w:noProof/>
                <w:webHidden/>
              </w:rPr>
              <w:t>4</w:t>
            </w:r>
            <w:r w:rsidR="008E4A6F">
              <w:rPr>
                <w:noProof/>
                <w:webHidden/>
              </w:rPr>
              <w:fldChar w:fldCharType="end"/>
            </w:r>
          </w:hyperlink>
        </w:p>
        <w:p w14:paraId="13349D32" w14:textId="768E51A3"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08" w:history="1">
            <w:r w:rsidR="008E4A6F" w:rsidRPr="00A36430">
              <w:rPr>
                <w:rStyle w:val="Hiperligao"/>
                <w:rFonts w:eastAsiaTheme="majorEastAsia"/>
                <w:noProof/>
              </w:rPr>
              <w:t>1.3.1 Radicais livres e stress oxidativo</w:t>
            </w:r>
            <w:r w:rsidR="008E4A6F">
              <w:rPr>
                <w:noProof/>
                <w:webHidden/>
              </w:rPr>
              <w:tab/>
            </w:r>
            <w:r w:rsidR="008E4A6F">
              <w:rPr>
                <w:noProof/>
                <w:webHidden/>
              </w:rPr>
              <w:fldChar w:fldCharType="begin"/>
            </w:r>
            <w:r w:rsidR="008E4A6F">
              <w:rPr>
                <w:noProof/>
                <w:webHidden/>
              </w:rPr>
              <w:instrText xml:space="preserve"> PAGEREF _Toc479154808 \h </w:instrText>
            </w:r>
            <w:r w:rsidR="008E4A6F">
              <w:rPr>
                <w:noProof/>
                <w:webHidden/>
              </w:rPr>
            </w:r>
            <w:r w:rsidR="008E4A6F">
              <w:rPr>
                <w:noProof/>
                <w:webHidden/>
              </w:rPr>
              <w:fldChar w:fldCharType="separate"/>
            </w:r>
            <w:r w:rsidR="005F28B4">
              <w:rPr>
                <w:noProof/>
                <w:webHidden/>
              </w:rPr>
              <w:t>4</w:t>
            </w:r>
            <w:r w:rsidR="008E4A6F">
              <w:rPr>
                <w:noProof/>
                <w:webHidden/>
              </w:rPr>
              <w:fldChar w:fldCharType="end"/>
            </w:r>
          </w:hyperlink>
        </w:p>
        <w:p w14:paraId="647F35B1" w14:textId="194930D5"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09" w:history="1">
            <w:r w:rsidR="008E4A6F" w:rsidRPr="00A36430">
              <w:rPr>
                <w:rStyle w:val="Hiperligao"/>
                <w:rFonts w:eastAsiaTheme="majorEastAsia"/>
                <w:noProof/>
              </w:rPr>
              <w:t>1.3.2 Antioxidantes</w:t>
            </w:r>
            <w:r w:rsidR="008E4A6F">
              <w:rPr>
                <w:noProof/>
                <w:webHidden/>
              </w:rPr>
              <w:tab/>
            </w:r>
            <w:r w:rsidR="008E4A6F">
              <w:rPr>
                <w:noProof/>
                <w:webHidden/>
              </w:rPr>
              <w:fldChar w:fldCharType="begin"/>
            </w:r>
            <w:r w:rsidR="008E4A6F">
              <w:rPr>
                <w:noProof/>
                <w:webHidden/>
              </w:rPr>
              <w:instrText xml:space="preserve"> PAGEREF _Toc479154809 \h </w:instrText>
            </w:r>
            <w:r w:rsidR="008E4A6F">
              <w:rPr>
                <w:noProof/>
                <w:webHidden/>
              </w:rPr>
            </w:r>
            <w:r w:rsidR="008E4A6F">
              <w:rPr>
                <w:noProof/>
                <w:webHidden/>
              </w:rPr>
              <w:fldChar w:fldCharType="separate"/>
            </w:r>
            <w:r w:rsidR="005F28B4">
              <w:rPr>
                <w:noProof/>
                <w:webHidden/>
              </w:rPr>
              <w:t>6</w:t>
            </w:r>
            <w:r w:rsidR="008E4A6F">
              <w:rPr>
                <w:noProof/>
                <w:webHidden/>
              </w:rPr>
              <w:fldChar w:fldCharType="end"/>
            </w:r>
          </w:hyperlink>
        </w:p>
        <w:p w14:paraId="7F3BBFC8" w14:textId="4E2AC8CE"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10" w:history="1">
            <w:r w:rsidR="008E4A6F" w:rsidRPr="00A36430">
              <w:rPr>
                <w:rStyle w:val="Hiperligao"/>
                <w:rFonts w:eastAsiaTheme="majorEastAsia"/>
                <w:noProof/>
              </w:rPr>
              <w:t>1.3.3 Compostos fenólicos</w:t>
            </w:r>
            <w:r w:rsidR="008E4A6F">
              <w:rPr>
                <w:noProof/>
                <w:webHidden/>
              </w:rPr>
              <w:tab/>
            </w:r>
            <w:r w:rsidR="008E4A6F">
              <w:rPr>
                <w:noProof/>
                <w:webHidden/>
              </w:rPr>
              <w:fldChar w:fldCharType="begin"/>
            </w:r>
            <w:r w:rsidR="008E4A6F">
              <w:rPr>
                <w:noProof/>
                <w:webHidden/>
              </w:rPr>
              <w:instrText xml:space="preserve"> PAGEREF _Toc479154810 \h </w:instrText>
            </w:r>
            <w:r w:rsidR="008E4A6F">
              <w:rPr>
                <w:noProof/>
                <w:webHidden/>
              </w:rPr>
            </w:r>
            <w:r w:rsidR="008E4A6F">
              <w:rPr>
                <w:noProof/>
                <w:webHidden/>
              </w:rPr>
              <w:fldChar w:fldCharType="separate"/>
            </w:r>
            <w:r w:rsidR="005F28B4">
              <w:rPr>
                <w:noProof/>
                <w:webHidden/>
              </w:rPr>
              <w:t>9</w:t>
            </w:r>
            <w:r w:rsidR="008E4A6F">
              <w:rPr>
                <w:noProof/>
                <w:webHidden/>
              </w:rPr>
              <w:fldChar w:fldCharType="end"/>
            </w:r>
          </w:hyperlink>
        </w:p>
        <w:p w14:paraId="32395EDB" w14:textId="269467A1"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11" w:history="1">
            <w:r w:rsidR="008E4A6F" w:rsidRPr="00A36430">
              <w:rPr>
                <w:rStyle w:val="Hiperligao"/>
                <w:rFonts w:eastAsiaTheme="majorEastAsia"/>
                <w:noProof/>
              </w:rPr>
              <w:t>1.3.3.1 Polifenóis</w:t>
            </w:r>
            <w:r w:rsidR="008E4A6F">
              <w:rPr>
                <w:noProof/>
                <w:webHidden/>
              </w:rPr>
              <w:tab/>
            </w:r>
            <w:r w:rsidR="008E4A6F">
              <w:rPr>
                <w:noProof/>
                <w:webHidden/>
              </w:rPr>
              <w:fldChar w:fldCharType="begin"/>
            </w:r>
            <w:r w:rsidR="008E4A6F">
              <w:rPr>
                <w:noProof/>
                <w:webHidden/>
              </w:rPr>
              <w:instrText xml:space="preserve"> PAGEREF _Toc479154811 \h </w:instrText>
            </w:r>
            <w:r w:rsidR="008E4A6F">
              <w:rPr>
                <w:noProof/>
                <w:webHidden/>
              </w:rPr>
            </w:r>
            <w:r w:rsidR="008E4A6F">
              <w:rPr>
                <w:noProof/>
                <w:webHidden/>
              </w:rPr>
              <w:fldChar w:fldCharType="separate"/>
            </w:r>
            <w:r w:rsidR="005F28B4">
              <w:rPr>
                <w:noProof/>
                <w:webHidden/>
              </w:rPr>
              <w:t>10</w:t>
            </w:r>
            <w:r w:rsidR="008E4A6F">
              <w:rPr>
                <w:noProof/>
                <w:webHidden/>
              </w:rPr>
              <w:fldChar w:fldCharType="end"/>
            </w:r>
          </w:hyperlink>
        </w:p>
        <w:p w14:paraId="5DF8D37E" w14:textId="280EBADF"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12" w:history="1">
            <w:r w:rsidR="008E4A6F" w:rsidRPr="00A36430">
              <w:rPr>
                <w:rStyle w:val="Hiperligao"/>
                <w:rFonts w:eastAsiaTheme="majorEastAsia"/>
                <w:noProof/>
              </w:rPr>
              <w:t>1.3.3.2 Ácidos fenólicos</w:t>
            </w:r>
            <w:r w:rsidR="008E4A6F">
              <w:rPr>
                <w:noProof/>
                <w:webHidden/>
              </w:rPr>
              <w:tab/>
            </w:r>
            <w:r w:rsidR="008E4A6F">
              <w:rPr>
                <w:noProof/>
                <w:webHidden/>
              </w:rPr>
              <w:fldChar w:fldCharType="begin"/>
            </w:r>
            <w:r w:rsidR="008E4A6F">
              <w:rPr>
                <w:noProof/>
                <w:webHidden/>
              </w:rPr>
              <w:instrText xml:space="preserve"> PAGEREF _Toc479154812 \h </w:instrText>
            </w:r>
            <w:r w:rsidR="008E4A6F">
              <w:rPr>
                <w:noProof/>
                <w:webHidden/>
              </w:rPr>
            </w:r>
            <w:r w:rsidR="008E4A6F">
              <w:rPr>
                <w:noProof/>
                <w:webHidden/>
              </w:rPr>
              <w:fldChar w:fldCharType="separate"/>
            </w:r>
            <w:r w:rsidR="005F28B4">
              <w:rPr>
                <w:noProof/>
                <w:webHidden/>
              </w:rPr>
              <w:t>11</w:t>
            </w:r>
            <w:r w:rsidR="008E4A6F">
              <w:rPr>
                <w:noProof/>
                <w:webHidden/>
              </w:rPr>
              <w:fldChar w:fldCharType="end"/>
            </w:r>
          </w:hyperlink>
        </w:p>
        <w:p w14:paraId="2DD6841B" w14:textId="6E6CC39A"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13" w:history="1">
            <w:r w:rsidR="008E4A6F" w:rsidRPr="00A36430">
              <w:rPr>
                <w:rStyle w:val="Hiperligao"/>
                <w:rFonts w:eastAsiaTheme="majorEastAsia"/>
                <w:noProof/>
              </w:rPr>
              <w:t>1.3.3.3 Flavonoides</w:t>
            </w:r>
            <w:r w:rsidR="008E4A6F">
              <w:rPr>
                <w:noProof/>
                <w:webHidden/>
              </w:rPr>
              <w:tab/>
            </w:r>
            <w:r w:rsidR="008E4A6F">
              <w:rPr>
                <w:noProof/>
                <w:webHidden/>
              </w:rPr>
              <w:fldChar w:fldCharType="begin"/>
            </w:r>
            <w:r w:rsidR="008E4A6F">
              <w:rPr>
                <w:noProof/>
                <w:webHidden/>
              </w:rPr>
              <w:instrText xml:space="preserve"> PAGEREF _Toc479154813 \h </w:instrText>
            </w:r>
            <w:r w:rsidR="008E4A6F">
              <w:rPr>
                <w:noProof/>
                <w:webHidden/>
              </w:rPr>
            </w:r>
            <w:r w:rsidR="008E4A6F">
              <w:rPr>
                <w:noProof/>
                <w:webHidden/>
              </w:rPr>
              <w:fldChar w:fldCharType="separate"/>
            </w:r>
            <w:r w:rsidR="005F28B4">
              <w:rPr>
                <w:noProof/>
                <w:webHidden/>
              </w:rPr>
              <w:t>12</w:t>
            </w:r>
            <w:r w:rsidR="008E4A6F">
              <w:rPr>
                <w:noProof/>
                <w:webHidden/>
              </w:rPr>
              <w:fldChar w:fldCharType="end"/>
            </w:r>
          </w:hyperlink>
        </w:p>
        <w:p w14:paraId="640D2E0D" w14:textId="4D820E23"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23" w:history="1">
            <w:r w:rsidR="008E4A6F" w:rsidRPr="00A36430">
              <w:rPr>
                <w:rStyle w:val="Hiperligao"/>
                <w:rFonts w:eastAsiaTheme="majorEastAsia"/>
                <w:noProof/>
              </w:rPr>
              <w:t>1.3.3.4 Taninos</w:t>
            </w:r>
            <w:r w:rsidR="008E4A6F">
              <w:rPr>
                <w:noProof/>
                <w:webHidden/>
              </w:rPr>
              <w:tab/>
            </w:r>
            <w:r w:rsidR="008E4A6F">
              <w:rPr>
                <w:noProof/>
                <w:webHidden/>
              </w:rPr>
              <w:fldChar w:fldCharType="begin"/>
            </w:r>
            <w:r w:rsidR="008E4A6F">
              <w:rPr>
                <w:noProof/>
                <w:webHidden/>
              </w:rPr>
              <w:instrText xml:space="preserve"> PAGEREF _Toc479154823 \h </w:instrText>
            </w:r>
            <w:r w:rsidR="008E4A6F">
              <w:rPr>
                <w:noProof/>
                <w:webHidden/>
              </w:rPr>
            </w:r>
            <w:r w:rsidR="008E4A6F">
              <w:rPr>
                <w:noProof/>
                <w:webHidden/>
              </w:rPr>
              <w:fldChar w:fldCharType="separate"/>
            </w:r>
            <w:r w:rsidR="005F28B4">
              <w:rPr>
                <w:noProof/>
                <w:webHidden/>
              </w:rPr>
              <w:t>13</w:t>
            </w:r>
            <w:r w:rsidR="008E4A6F">
              <w:rPr>
                <w:noProof/>
                <w:webHidden/>
              </w:rPr>
              <w:fldChar w:fldCharType="end"/>
            </w:r>
          </w:hyperlink>
        </w:p>
        <w:p w14:paraId="3DDFF710" w14:textId="71367513"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25" w:history="1">
            <w:r w:rsidR="009A72E6">
              <w:rPr>
                <w:rStyle w:val="Hiperligao"/>
                <w:rFonts w:eastAsiaTheme="majorEastAsia"/>
                <w:noProof/>
              </w:rPr>
              <w:t xml:space="preserve"> </w:t>
            </w:r>
            <w:r w:rsidR="008E4A6F" w:rsidRPr="00A36430">
              <w:rPr>
                <w:rStyle w:val="Hiperligao"/>
                <w:rFonts w:eastAsiaTheme="majorEastAsia"/>
                <w:noProof/>
              </w:rPr>
              <w:t>1.3.4 Betalaínas</w:t>
            </w:r>
            <w:r w:rsidR="008E4A6F">
              <w:rPr>
                <w:noProof/>
                <w:webHidden/>
              </w:rPr>
              <w:tab/>
            </w:r>
            <w:r w:rsidR="008E4A6F">
              <w:rPr>
                <w:noProof/>
                <w:webHidden/>
              </w:rPr>
              <w:fldChar w:fldCharType="begin"/>
            </w:r>
            <w:r w:rsidR="008E4A6F">
              <w:rPr>
                <w:noProof/>
                <w:webHidden/>
              </w:rPr>
              <w:instrText xml:space="preserve"> PAGEREF _Toc479154825 \h </w:instrText>
            </w:r>
            <w:r w:rsidR="008E4A6F">
              <w:rPr>
                <w:noProof/>
                <w:webHidden/>
              </w:rPr>
            </w:r>
            <w:r w:rsidR="008E4A6F">
              <w:rPr>
                <w:noProof/>
                <w:webHidden/>
              </w:rPr>
              <w:fldChar w:fldCharType="separate"/>
            </w:r>
            <w:r w:rsidR="005F28B4">
              <w:rPr>
                <w:noProof/>
                <w:webHidden/>
              </w:rPr>
              <w:t>14</w:t>
            </w:r>
            <w:r w:rsidR="008E4A6F">
              <w:rPr>
                <w:noProof/>
                <w:webHidden/>
              </w:rPr>
              <w:fldChar w:fldCharType="end"/>
            </w:r>
          </w:hyperlink>
        </w:p>
        <w:p w14:paraId="5415EA64" w14:textId="2C25FB40"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26" w:history="1">
            <w:r w:rsidR="008E4A6F" w:rsidRPr="00A36430">
              <w:rPr>
                <w:rStyle w:val="Hiperligao"/>
                <w:rFonts w:eastAsiaTheme="majorEastAsia"/>
                <w:noProof/>
              </w:rPr>
              <w:t>1.4. Nutracêuticos</w:t>
            </w:r>
            <w:r w:rsidR="008E4A6F">
              <w:rPr>
                <w:noProof/>
                <w:webHidden/>
              </w:rPr>
              <w:tab/>
            </w:r>
            <w:r w:rsidR="008E4A6F">
              <w:rPr>
                <w:noProof/>
                <w:webHidden/>
              </w:rPr>
              <w:fldChar w:fldCharType="begin"/>
            </w:r>
            <w:r w:rsidR="008E4A6F">
              <w:rPr>
                <w:noProof/>
                <w:webHidden/>
              </w:rPr>
              <w:instrText xml:space="preserve"> PAGEREF _Toc479154826 \h </w:instrText>
            </w:r>
            <w:r w:rsidR="008E4A6F">
              <w:rPr>
                <w:noProof/>
                <w:webHidden/>
              </w:rPr>
            </w:r>
            <w:r w:rsidR="008E4A6F">
              <w:rPr>
                <w:noProof/>
                <w:webHidden/>
              </w:rPr>
              <w:fldChar w:fldCharType="separate"/>
            </w:r>
            <w:r w:rsidR="005F28B4">
              <w:rPr>
                <w:noProof/>
                <w:webHidden/>
              </w:rPr>
              <w:t>15</w:t>
            </w:r>
            <w:r w:rsidR="008E4A6F">
              <w:rPr>
                <w:noProof/>
                <w:webHidden/>
              </w:rPr>
              <w:fldChar w:fldCharType="end"/>
            </w:r>
          </w:hyperlink>
        </w:p>
        <w:p w14:paraId="3F9AEEEA" w14:textId="3EC293AD"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31" w:history="1">
            <w:r w:rsidR="008E4A6F" w:rsidRPr="00A36430">
              <w:rPr>
                <w:rStyle w:val="Hiperligao"/>
                <w:rFonts w:eastAsiaTheme="majorEastAsia"/>
                <w:noProof/>
              </w:rPr>
              <w:t>1.4.1 Propriedades funcionais do figo-da-índia</w:t>
            </w:r>
            <w:r w:rsidR="008E4A6F">
              <w:rPr>
                <w:noProof/>
                <w:webHidden/>
              </w:rPr>
              <w:tab/>
            </w:r>
            <w:r w:rsidR="008E4A6F">
              <w:rPr>
                <w:noProof/>
                <w:webHidden/>
              </w:rPr>
              <w:fldChar w:fldCharType="begin"/>
            </w:r>
            <w:r w:rsidR="008E4A6F">
              <w:rPr>
                <w:noProof/>
                <w:webHidden/>
              </w:rPr>
              <w:instrText xml:space="preserve"> PAGEREF _Toc479154831 \h </w:instrText>
            </w:r>
            <w:r w:rsidR="008E4A6F">
              <w:rPr>
                <w:noProof/>
                <w:webHidden/>
              </w:rPr>
            </w:r>
            <w:r w:rsidR="008E4A6F">
              <w:rPr>
                <w:noProof/>
                <w:webHidden/>
              </w:rPr>
              <w:fldChar w:fldCharType="separate"/>
            </w:r>
            <w:r w:rsidR="005F28B4">
              <w:rPr>
                <w:noProof/>
                <w:webHidden/>
              </w:rPr>
              <w:t>16</w:t>
            </w:r>
            <w:r w:rsidR="008E4A6F">
              <w:rPr>
                <w:noProof/>
                <w:webHidden/>
              </w:rPr>
              <w:fldChar w:fldCharType="end"/>
            </w:r>
          </w:hyperlink>
        </w:p>
        <w:p w14:paraId="303AEBBE" w14:textId="53D96B84"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36" w:history="1">
            <w:r w:rsidR="008E4A6F" w:rsidRPr="00A36430">
              <w:rPr>
                <w:rStyle w:val="Hiperligao"/>
                <w:rFonts w:eastAsia="Calibri"/>
                <w:noProof/>
                <w:lang w:eastAsia="en-US"/>
              </w:rPr>
              <w:t>2. Materiais e métodos</w:t>
            </w:r>
            <w:r w:rsidR="008E4A6F">
              <w:rPr>
                <w:noProof/>
                <w:webHidden/>
              </w:rPr>
              <w:tab/>
            </w:r>
            <w:r w:rsidR="008E4A6F">
              <w:rPr>
                <w:noProof/>
                <w:webHidden/>
              </w:rPr>
              <w:fldChar w:fldCharType="begin"/>
            </w:r>
            <w:r w:rsidR="008E4A6F">
              <w:rPr>
                <w:noProof/>
                <w:webHidden/>
              </w:rPr>
              <w:instrText xml:space="preserve"> PAGEREF _Toc479154836 \h </w:instrText>
            </w:r>
            <w:r w:rsidR="008E4A6F">
              <w:rPr>
                <w:noProof/>
                <w:webHidden/>
              </w:rPr>
            </w:r>
            <w:r w:rsidR="008E4A6F">
              <w:rPr>
                <w:noProof/>
                <w:webHidden/>
              </w:rPr>
              <w:fldChar w:fldCharType="separate"/>
            </w:r>
            <w:r w:rsidR="005F28B4">
              <w:rPr>
                <w:noProof/>
                <w:webHidden/>
              </w:rPr>
              <w:t>19</w:t>
            </w:r>
            <w:r w:rsidR="008E4A6F">
              <w:rPr>
                <w:noProof/>
                <w:webHidden/>
              </w:rPr>
              <w:fldChar w:fldCharType="end"/>
            </w:r>
          </w:hyperlink>
        </w:p>
        <w:p w14:paraId="5F72A86B" w14:textId="7B216E9D"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37" w:history="1">
            <w:r w:rsidR="008E4A6F" w:rsidRPr="00A36430">
              <w:rPr>
                <w:rStyle w:val="Hiperligao"/>
                <w:rFonts w:eastAsia="Calibri"/>
                <w:noProof/>
                <w:lang w:eastAsia="en-US"/>
              </w:rPr>
              <w:t>2.1 Material vegetal e preparação das amostras</w:t>
            </w:r>
            <w:r w:rsidR="008E4A6F">
              <w:rPr>
                <w:noProof/>
                <w:webHidden/>
              </w:rPr>
              <w:tab/>
            </w:r>
            <w:r w:rsidR="008E4A6F">
              <w:rPr>
                <w:noProof/>
                <w:webHidden/>
              </w:rPr>
              <w:fldChar w:fldCharType="begin"/>
            </w:r>
            <w:r w:rsidR="008E4A6F">
              <w:rPr>
                <w:noProof/>
                <w:webHidden/>
              </w:rPr>
              <w:instrText xml:space="preserve"> PAGEREF _Toc479154837 \h </w:instrText>
            </w:r>
            <w:r w:rsidR="008E4A6F">
              <w:rPr>
                <w:noProof/>
                <w:webHidden/>
              </w:rPr>
            </w:r>
            <w:r w:rsidR="008E4A6F">
              <w:rPr>
                <w:noProof/>
                <w:webHidden/>
              </w:rPr>
              <w:fldChar w:fldCharType="separate"/>
            </w:r>
            <w:r w:rsidR="005F28B4">
              <w:rPr>
                <w:noProof/>
                <w:webHidden/>
              </w:rPr>
              <w:t>19</w:t>
            </w:r>
            <w:r w:rsidR="008E4A6F">
              <w:rPr>
                <w:noProof/>
                <w:webHidden/>
              </w:rPr>
              <w:fldChar w:fldCharType="end"/>
            </w:r>
          </w:hyperlink>
        </w:p>
        <w:p w14:paraId="4CB40D40" w14:textId="526FAC99"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38" w:history="1">
            <w:r w:rsidR="008E4A6F" w:rsidRPr="00A36430">
              <w:rPr>
                <w:rStyle w:val="Hiperligao"/>
                <w:rFonts w:eastAsia="Calibri"/>
                <w:noProof/>
                <w:lang w:eastAsia="en-US"/>
              </w:rPr>
              <w:t>2.2 Parâmetros gerais de qualidade</w:t>
            </w:r>
            <w:r w:rsidR="008E4A6F">
              <w:rPr>
                <w:noProof/>
                <w:webHidden/>
              </w:rPr>
              <w:tab/>
            </w:r>
            <w:r w:rsidR="008E4A6F">
              <w:rPr>
                <w:noProof/>
                <w:webHidden/>
              </w:rPr>
              <w:fldChar w:fldCharType="begin"/>
            </w:r>
            <w:r w:rsidR="008E4A6F">
              <w:rPr>
                <w:noProof/>
                <w:webHidden/>
              </w:rPr>
              <w:instrText xml:space="preserve"> PAGEREF _Toc479154838 \h </w:instrText>
            </w:r>
            <w:r w:rsidR="008E4A6F">
              <w:rPr>
                <w:noProof/>
                <w:webHidden/>
              </w:rPr>
            </w:r>
            <w:r w:rsidR="008E4A6F">
              <w:rPr>
                <w:noProof/>
                <w:webHidden/>
              </w:rPr>
              <w:fldChar w:fldCharType="separate"/>
            </w:r>
            <w:r w:rsidR="005F28B4">
              <w:rPr>
                <w:noProof/>
                <w:webHidden/>
              </w:rPr>
              <w:t>19</w:t>
            </w:r>
            <w:r w:rsidR="008E4A6F">
              <w:rPr>
                <w:noProof/>
                <w:webHidden/>
              </w:rPr>
              <w:fldChar w:fldCharType="end"/>
            </w:r>
          </w:hyperlink>
        </w:p>
        <w:p w14:paraId="326D3E2C" w14:textId="45678262"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39" w:history="1">
            <w:r w:rsidR="008E4A6F" w:rsidRPr="00A36430">
              <w:rPr>
                <w:rStyle w:val="Hiperligao"/>
                <w:rFonts w:eastAsia="Calibri"/>
                <w:noProof/>
                <w:lang w:eastAsia="en-US"/>
              </w:rPr>
              <w:t>2.2.1. Dimensão e peso dos frutos</w:t>
            </w:r>
            <w:r w:rsidR="008E4A6F">
              <w:rPr>
                <w:noProof/>
                <w:webHidden/>
              </w:rPr>
              <w:tab/>
            </w:r>
            <w:r w:rsidR="008E4A6F">
              <w:rPr>
                <w:noProof/>
                <w:webHidden/>
              </w:rPr>
              <w:fldChar w:fldCharType="begin"/>
            </w:r>
            <w:r w:rsidR="008E4A6F">
              <w:rPr>
                <w:noProof/>
                <w:webHidden/>
              </w:rPr>
              <w:instrText xml:space="preserve"> PAGEREF _Toc479154839 \h </w:instrText>
            </w:r>
            <w:r w:rsidR="008E4A6F">
              <w:rPr>
                <w:noProof/>
                <w:webHidden/>
              </w:rPr>
            </w:r>
            <w:r w:rsidR="008E4A6F">
              <w:rPr>
                <w:noProof/>
                <w:webHidden/>
              </w:rPr>
              <w:fldChar w:fldCharType="separate"/>
            </w:r>
            <w:r w:rsidR="005F28B4">
              <w:rPr>
                <w:noProof/>
                <w:webHidden/>
              </w:rPr>
              <w:t>19</w:t>
            </w:r>
            <w:r w:rsidR="008E4A6F">
              <w:rPr>
                <w:noProof/>
                <w:webHidden/>
              </w:rPr>
              <w:fldChar w:fldCharType="end"/>
            </w:r>
          </w:hyperlink>
        </w:p>
        <w:p w14:paraId="23F6E35F" w14:textId="6FEA8C48"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0" w:history="1">
            <w:r w:rsidR="008E4A6F" w:rsidRPr="00A36430">
              <w:rPr>
                <w:rStyle w:val="Hiperligao"/>
                <w:rFonts w:eastAsia="Calibri"/>
                <w:noProof/>
                <w:lang w:eastAsia="en-US"/>
              </w:rPr>
              <w:t>2.2.2. Cor</w:t>
            </w:r>
            <w:r w:rsidR="008E4A6F">
              <w:rPr>
                <w:noProof/>
                <w:webHidden/>
              </w:rPr>
              <w:tab/>
            </w:r>
            <w:r w:rsidR="008E4A6F">
              <w:rPr>
                <w:noProof/>
                <w:webHidden/>
              </w:rPr>
              <w:fldChar w:fldCharType="begin"/>
            </w:r>
            <w:r w:rsidR="008E4A6F">
              <w:rPr>
                <w:noProof/>
                <w:webHidden/>
              </w:rPr>
              <w:instrText xml:space="preserve"> PAGEREF _Toc479154840 \h </w:instrText>
            </w:r>
            <w:r w:rsidR="008E4A6F">
              <w:rPr>
                <w:noProof/>
                <w:webHidden/>
              </w:rPr>
            </w:r>
            <w:r w:rsidR="008E4A6F">
              <w:rPr>
                <w:noProof/>
                <w:webHidden/>
              </w:rPr>
              <w:fldChar w:fldCharType="separate"/>
            </w:r>
            <w:r w:rsidR="005F28B4">
              <w:rPr>
                <w:noProof/>
                <w:webHidden/>
              </w:rPr>
              <w:t>19</w:t>
            </w:r>
            <w:r w:rsidR="008E4A6F">
              <w:rPr>
                <w:noProof/>
                <w:webHidden/>
              </w:rPr>
              <w:fldChar w:fldCharType="end"/>
            </w:r>
          </w:hyperlink>
        </w:p>
        <w:p w14:paraId="517D6EA1" w14:textId="77A384B7"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1" w:history="1">
            <w:r w:rsidR="008E4A6F" w:rsidRPr="00A36430">
              <w:rPr>
                <w:rStyle w:val="Hiperligao"/>
                <w:rFonts w:eastAsia="Calibri"/>
                <w:noProof/>
                <w:lang w:val="pt-BR" w:eastAsia="en-US"/>
              </w:rPr>
              <w:t>2.2.3. Firmeza</w:t>
            </w:r>
            <w:r w:rsidR="008E4A6F">
              <w:rPr>
                <w:noProof/>
                <w:webHidden/>
              </w:rPr>
              <w:tab/>
            </w:r>
            <w:r w:rsidR="008E4A6F">
              <w:rPr>
                <w:noProof/>
                <w:webHidden/>
              </w:rPr>
              <w:fldChar w:fldCharType="begin"/>
            </w:r>
            <w:r w:rsidR="008E4A6F">
              <w:rPr>
                <w:noProof/>
                <w:webHidden/>
              </w:rPr>
              <w:instrText xml:space="preserve"> PAGEREF _Toc479154841 \h </w:instrText>
            </w:r>
            <w:r w:rsidR="008E4A6F">
              <w:rPr>
                <w:noProof/>
                <w:webHidden/>
              </w:rPr>
            </w:r>
            <w:r w:rsidR="008E4A6F">
              <w:rPr>
                <w:noProof/>
                <w:webHidden/>
              </w:rPr>
              <w:fldChar w:fldCharType="separate"/>
            </w:r>
            <w:r w:rsidR="005F28B4">
              <w:rPr>
                <w:noProof/>
                <w:webHidden/>
              </w:rPr>
              <w:t>20</w:t>
            </w:r>
            <w:r w:rsidR="008E4A6F">
              <w:rPr>
                <w:noProof/>
                <w:webHidden/>
              </w:rPr>
              <w:fldChar w:fldCharType="end"/>
            </w:r>
          </w:hyperlink>
        </w:p>
        <w:p w14:paraId="5409FC64" w14:textId="1A5C266D"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2" w:history="1">
            <w:r w:rsidR="008E4A6F" w:rsidRPr="00A36430">
              <w:rPr>
                <w:rStyle w:val="Hiperligao"/>
                <w:rFonts w:eastAsia="Calibri"/>
                <w:noProof/>
                <w:lang w:val="pt-BR" w:eastAsia="en-US"/>
              </w:rPr>
              <w:t>2.2.4 Teor de sólidos solúveis (ºBrix)</w:t>
            </w:r>
            <w:r w:rsidR="008E4A6F">
              <w:rPr>
                <w:noProof/>
                <w:webHidden/>
              </w:rPr>
              <w:tab/>
            </w:r>
            <w:r w:rsidR="008E4A6F">
              <w:rPr>
                <w:noProof/>
                <w:webHidden/>
              </w:rPr>
              <w:fldChar w:fldCharType="begin"/>
            </w:r>
            <w:r w:rsidR="008E4A6F">
              <w:rPr>
                <w:noProof/>
                <w:webHidden/>
              </w:rPr>
              <w:instrText xml:space="preserve"> PAGEREF _Toc479154842 \h </w:instrText>
            </w:r>
            <w:r w:rsidR="008E4A6F">
              <w:rPr>
                <w:noProof/>
                <w:webHidden/>
              </w:rPr>
            </w:r>
            <w:r w:rsidR="008E4A6F">
              <w:rPr>
                <w:noProof/>
                <w:webHidden/>
              </w:rPr>
              <w:fldChar w:fldCharType="separate"/>
            </w:r>
            <w:r w:rsidR="005F28B4">
              <w:rPr>
                <w:noProof/>
                <w:webHidden/>
              </w:rPr>
              <w:t>21</w:t>
            </w:r>
            <w:r w:rsidR="008E4A6F">
              <w:rPr>
                <w:noProof/>
                <w:webHidden/>
              </w:rPr>
              <w:fldChar w:fldCharType="end"/>
            </w:r>
          </w:hyperlink>
        </w:p>
        <w:p w14:paraId="1E24635E" w14:textId="5CF7306B"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3" w:history="1">
            <w:r w:rsidR="008E4A6F" w:rsidRPr="00A36430">
              <w:rPr>
                <w:rStyle w:val="Hiperligao"/>
                <w:rFonts w:eastAsia="Calibri"/>
                <w:noProof/>
                <w:lang w:val="pt-BR" w:eastAsia="en-US"/>
              </w:rPr>
              <w:t>2.2.5. pH e acidez titulável</w:t>
            </w:r>
            <w:r w:rsidR="008E4A6F">
              <w:rPr>
                <w:noProof/>
                <w:webHidden/>
              </w:rPr>
              <w:tab/>
            </w:r>
            <w:r w:rsidR="008E4A6F">
              <w:rPr>
                <w:noProof/>
                <w:webHidden/>
              </w:rPr>
              <w:fldChar w:fldCharType="begin"/>
            </w:r>
            <w:r w:rsidR="008E4A6F">
              <w:rPr>
                <w:noProof/>
                <w:webHidden/>
              </w:rPr>
              <w:instrText xml:space="preserve"> PAGEREF _Toc479154843 \h </w:instrText>
            </w:r>
            <w:r w:rsidR="008E4A6F">
              <w:rPr>
                <w:noProof/>
                <w:webHidden/>
              </w:rPr>
            </w:r>
            <w:r w:rsidR="008E4A6F">
              <w:rPr>
                <w:noProof/>
                <w:webHidden/>
              </w:rPr>
              <w:fldChar w:fldCharType="separate"/>
            </w:r>
            <w:r w:rsidR="005F28B4">
              <w:rPr>
                <w:noProof/>
                <w:webHidden/>
              </w:rPr>
              <w:t>21</w:t>
            </w:r>
            <w:r w:rsidR="008E4A6F">
              <w:rPr>
                <w:noProof/>
                <w:webHidden/>
              </w:rPr>
              <w:fldChar w:fldCharType="end"/>
            </w:r>
          </w:hyperlink>
        </w:p>
        <w:p w14:paraId="7504DB39" w14:textId="0F880A50"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44" w:history="1">
            <w:r w:rsidR="008E4A6F" w:rsidRPr="00A36430">
              <w:rPr>
                <w:rStyle w:val="Hiperligao"/>
                <w:rFonts w:eastAsia="Calibri"/>
                <w:noProof/>
                <w:lang w:eastAsia="en-US"/>
              </w:rPr>
              <w:t>2.3. Preparação das amostras, extração e quantificação de parâmetros químicos</w:t>
            </w:r>
            <w:r w:rsidR="008E4A6F">
              <w:rPr>
                <w:noProof/>
                <w:webHidden/>
              </w:rPr>
              <w:tab/>
            </w:r>
            <w:r w:rsidR="008E4A6F">
              <w:rPr>
                <w:noProof/>
                <w:webHidden/>
              </w:rPr>
              <w:fldChar w:fldCharType="begin"/>
            </w:r>
            <w:r w:rsidR="008E4A6F">
              <w:rPr>
                <w:noProof/>
                <w:webHidden/>
              </w:rPr>
              <w:instrText xml:space="preserve"> PAGEREF _Toc479154844 \h </w:instrText>
            </w:r>
            <w:r w:rsidR="008E4A6F">
              <w:rPr>
                <w:noProof/>
                <w:webHidden/>
              </w:rPr>
            </w:r>
            <w:r w:rsidR="008E4A6F">
              <w:rPr>
                <w:noProof/>
                <w:webHidden/>
              </w:rPr>
              <w:fldChar w:fldCharType="separate"/>
            </w:r>
            <w:r w:rsidR="005F28B4">
              <w:rPr>
                <w:noProof/>
                <w:webHidden/>
              </w:rPr>
              <w:t>21</w:t>
            </w:r>
            <w:r w:rsidR="008E4A6F">
              <w:rPr>
                <w:noProof/>
                <w:webHidden/>
              </w:rPr>
              <w:fldChar w:fldCharType="end"/>
            </w:r>
          </w:hyperlink>
        </w:p>
        <w:p w14:paraId="565AFDE3" w14:textId="33DE7025"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5" w:history="1">
            <w:r w:rsidR="008E4A6F" w:rsidRPr="00A36430">
              <w:rPr>
                <w:rStyle w:val="Hiperligao"/>
                <w:rFonts w:eastAsia="Calibri"/>
                <w:noProof/>
                <w:lang w:eastAsia="en-US"/>
              </w:rPr>
              <w:t>2.3.1 Fenóis totais</w:t>
            </w:r>
            <w:r w:rsidR="008E4A6F">
              <w:rPr>
                <w:noProof/>
                <w:webHidden/>
              </w:rPr>
              <w:tab/>
            </w:r>
            <w:r w:rsidR="008E4A6F">
              <w:rPr>
                <w:noProof/>
                <w:webHidden/>
              </w:rPr>
              <w:fldChar w:fldCharType="begin"/>
            </w:r>
            <w:r w:rsidR="008E4A6F">
              <w:rPr>
                <w:noProof/>
                <w:webHidden/>
              </w:rPr>
              <w:instrText xml:space="preserve"> PAGEREF _Toc479154845 \h </w:instrText>
            </w:r>
            <w:r w:rsidR="008E4A6F">
              <w:rPr>
                <w:noProof/>
                <w:webHidden/>
              </w:rPr>
            </w:r>
            <w:r w:rsidR="008E4A6F">
              <w:rPr>
                <w:noProof/>
                <w:webHidden/>
              </w:rPr>
              <w:fldChar w:fldCharType="separate"/>
            </w:r>
            <w:r w:rsidR="005F28B4">
              <w:rPr>
                <w:noProof/>
                <w:webHidden/>
              </w:rPr>
              <w:t>22</w:t>
            </w:r>
            <w:r w:rsidR="008E4A6F">
              <w:rPr>
                <w:noProof/>
                <w:webHidden/>
              </w:rPr>
              <w:fldChar w:fldCharType="end"/>
            </w:r>
          </w:hyperlink>
        </w:p>
        <w:p w14:paraId="7BCAC1C1" w14:textId="29D02E3B"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6" w:history="1">
            <w:r w:rsidR="008E4A6F" w:rsidRPr="00A36430">
              <w:rPr>
                <w:rStyle w:val="Hiperligao"/>
                <w:rFonts w:eastAsia="Calibri"/>
                <w:noProof/>
                <w:lang w:val="pt-BR" w:eastAsia="en-US"/>
              </w:rPr>
              <w:t>2.3.2 Actividade antioxidante</w:t>
            </w:r>
            <w:r w:rsidR="008E4A6F">
              <w:rPr>
                <w:noProof/>
                <w:webHidden/>
              </w:rPr>
              <w:tab/>
            </w:r>
            <w:r w:rsidR="008E4A6F">
              <w:rPr>
                <w:noProof/>
                <w:webHidden/>
              </w:rPr>
              <w:fldChar w:fldCharType="begin"/>
            </w:r>
            <w:r w:rsidR="008E4A6F">
              <w:rPr>
                <w:noProof/>
                <w:webHidden/>
              </w:rPr>
              <w:instrText xml:space="preserve"> PAGEREF _Toc479154846 \h </w:instrText>
            </w:r>
            <w:r w:rsidR="008E4A6F">
              <w:rPr>
                <w:noProof/>
                <w:webHidden/>
              </w:rPr>
            </w:r>
            <w:r w:rsidR="008E4A6F">
              <w:rPr>
                <w:noProof/>
                <w:webHidden/>
              </w:rPr>
              <w:fldChar w:fldCharType="separate"/>
            </w:r>
            <w:r w:rsidR="005F28B4">
              <w:rPr>
                <w:noProof/>
                <w:webHidden/>
              </w:rPr>
              <w:t>23</w:t>
            </w:r>
            <w:r w:rsidR="008E4A6F">
              <w:rPr>
                <w:noProof/>
                <w:webHidden/>
              </w:rPr>
              <w:fldChar w:fldCharType="end"/>
            </w:r>
          </w:hyperlink>
        </w:p>
        <w:p w14:paraId="2C781694" w14:textId="02CB388E" w:rsidR="008E4A6F" w:rsidRDefault="00465E4A">
          <w:pPr>
            <w:pStyle w:val="ndice3"/>
            <w:tabs>
              <w:tab w:val="right" w:leader="dot" w:pos="8494"/>
            </w:tabs>
            <w:rPr>
              <w:rFonts w:asciiTheme="minorHAnsi" w:eastAsiaTheme="minorEastAsia" w:hAnsiTheme="minorHAnsi" w:cstheme="minorBidi"/>
              <w:noProof/>
              <w:color w:val="auto"/>
              <w:sz w:val="22"/>
            </w:rPr>
          </w:pPr>
          <w:r>
            <w:rPr>
              <w:noProof/>
            </w:rPr>
            <w:lastRenderedPageBreak/>
            <w:t xml:space="preserve">   </w:t>
          </w:r>
          <w:hyperlink w:anchor="_Toc479154847" w:history="1">
            <w:r w:rsidR="008E4A6F" w:rsidRPr="00A36430">
              <w:rPr>
                <w:rStyle w:val="Hiperligao"/>
                <w:rFonts w:eastAsia="Calibri"/>
                <w:noProof/>
                <w:lang w:val="pt-BR" w:eastAsia="en-US"/>
              </w:rPr>
              <w:t>2.3.2.1. Método TEAC (Trolox equivalent antioxidant capacity)</w:t>
            </w:r>
            <w:r w:rsidR="008E4A6F">
              <w:rPr>
                <w:noProof/>
                <w:webHidden/>
              </w:rPr>
              <w:tab/>
            </w:r>
            <w:r w:rsidR="008E4A6F">
              <w:rPr>
                <w:noProof/>
                <w:webHidden/>
              </w:rPr>
              <w:fldChar w:fldCharType="begin"/>
            </w:r>
            <w:r w:rsidR="008E4A6F">
              <w:rPr>
                <w:noProof/>
                <w:webHidden/>
              </w:rPr>
              <w:instrText xml:space="preserve"> PAGEREF _Toc479154847 \h </w:instrText>
            </w:r>
            <w:r w:rsidR="008E4A6F">
              <w:rPr>
                <w:noProof/>
                <w:webHidden/>
              </w:rPr>
            </w:r>
            <w:r w:rsidR="008E4A6F">
              <w:rPr>
                <w:noProof/>
                <w:webHidden/>
              </w:rPr>
              <w:fldChar w:fldCharType="separate"/>
            </w:r>
            <w:r w:rsidR="005F28B4">
              <w:rPr>
                <w:noProof/>
                <w:webHidden/>
              </w:rPr>
              <w:t>23</w:t>
            </w:r>
            <w:r w:rsidR="008E4A6F">
              <w:rPr>
                <w:noProof/>
                <w:webHidden/>
              </w:rPr>
              <w:fldChar w:fldCharType="end"/>
            </w:r>
          </w:hyperlink>
        </w:p>
        <w:p w14:paraId="16070336" w14:textId="01D5B268" w:rsidR="008E4A6F" w:rsidRDefault="00465E4A">
          <w:pPr>
            <w:pStyle w:val="ndice3"/>
            <w:tabs>
              <w:tab w:val="right" w:leader="dot" w:pos="8494"/>
            </w:tabs>
            <w:rPr>
              <w:rFonts w:asciiTheme="minorHAnsi" w:eastAsiaTheme="minorEastAsia" w:hAnsiTheme="minorHAnsi" w:cstheme="minorBidi"/>
              <w:noProof/>
              <w:color w:val="auto"/>
              <w:sz w:val="22"/>
            </w:rPr>
          </w:pPr>
          <w:r>
            <w:rPr>
              <w:noProof/>
            </w:rPr>
            <w:t xml:space="preserve">   </w:t>
          </w:r>
          <w:hyperlink w:anchor="_Toc479154848" w:history="1">
            <w:r w:rsidR="008E4A6F" w:rsidRPr="00A36430">
              <w:rPr>
                <w:rStyle w:val="Hiperligao"/>
                <w:rFonts w:eastAsia="Calibri"/>
                <w:noProof/>
                <w:lang w:eastAsia="en-US"/>
              </w:rPr>
              <w:t>2.3.2.2. Método DPPH</w:t>
            </w:r>
            <w:r w:rsidR="008E4A6F">
              <w:rPr>
                <w:noProof/>
                <w:webHidden/>
              </w:rPr>
              <w:tab/>
            </w:r>
            <w:r w:rsidR="008E4A6F">
              <w:rPr>
                <w:noProof/>
                <w:webHidden/>
              </w:rPr>
              <w:fldChar w:fldCharType="begin"/>
            </w:r>
            <w:r w:rsidR="008E4A6F">
              <w:rPr>
                <w:noProof/>
                <w:webHidden/>
              </w:rPr>
              <w:instrText xml:space="preserve"> PAGEREF _Toc479154848 \h </w:instrText>
            </w:r>
            <w:r w:rsidR="008E4A6F">
              <w:rPr>
                <w:noProof/>
                <w:webHidden/>
              </w:rPr>
            </w:r>
            <w:r w:rsidR="008E4A6F">
              <w:rPr>
                <w:noProof/>
                <w:webHidden/>
              </w:rPr>
              <w:fldChar w:fldCharType="separate"/>
            </w:r>
            <w:r w:rsidR="005F28B4">
              <w:rPr>
                <w:noProof/>
                <w:webHidden/>
              </w:rPr>
              <w:t>24</w:t>
            </w:r>
            <w:r w:rsidR="008E4A6F">
              <w:rPr>
                <w:noProof/>
                <w:webHidden/>
              </w:rPr>
              <w:fldChar w:fldCharType="end"/>
            </w:r>
          </w:hyperlink>
        </w:p>
        <w:p w14:paraId="2612E11F" w14:textId="2B2693FD"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49" w:history="1">
            <w:r w:rsidR="008E4A6F" w:rsidRPr="00A36430">
              <w:rPr>
                <w:rStyle w:val="Hiperligao"/>
                <w:rFonts w:eastAsiaTheme="majorEastAsia"/>
                <w:noProof/>
                <w:lang w:eastAsia="en-US"/>
              </w:rPr>
              <w:t>2.3.3 Flavonóides</w:t>
            </w:r>
            <w:r w:rsidR="008E4A6F">
              <w:rPr>
                <w:noProof/>
                <w:webHidden/>
              </w:rPr>
              <w:tab/>
            </w:r>
            <w:r w:rsidR="008E4A6F">
              <w:rPr>
                <w:noProof/>
                <w:webHidden/>
              </w:rPr>
              <w:fldChar w:fldCharType="begin"/>
            </w:r>
            <w:r w:rsidR="008E4A6F">
              <w:rPr>
                <w:noProof/>
                <w:webHidden/>
              </w:rPr>
              <w:instrText xml:space="preserve"> PAGEREF _Toc479154849 \h </w:instrText>
            </w:r>
            <w:r w:rsidR="008E4A6F">
              <w:rPr>
                <w:noProof/>
                <w:webHidden/>
              </w:rPr>
            </w:r>
            <w:r w:rsidR="008E4A6F">
              <w:rPr>
                <w:noProof/>
                <w:webHidden/>
              </w:rPr>
              <w:fldChar w:fldCharType="separate"/>
            </w:r>
            <w:r w:rsidR="005F28B4">
              <w:rPr>
                <w:noProof/>
                <w:webHidden/>
              </w:rPr>
              <w:t>25</w:t>
            </w:r>
            <w:r w:rsidR="008E4A6F">
              <w:rPr>
                <w:noProof/>
                <w:webHidden/>
              </w:rPr>
              <w:fldChar w:fldCharType="end"/>
            </w:r>
          </w:hyperlink>
        </w:p>
        <w:p w14:paraId="3D532613" w14:textId="0ADC01C6"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50" w:history="1">
            <w:r w:rsidR="008E4A6F" w:rsidRPr="00A36430">
              <w:rPr>
                <w:rStyle w:val="Hiperligao"/>
                <w:rFonts w:eastAsia="Calibri"/>
                <w:noProof/>
                <w:lang w:val="pt-BR" w:eastAsia="en-US"/>
              </w:rPr>
              <w:t>2.3.4 Betalaínas</w:t>
            </w:r>
            <w:r w:rsidR="008E4A6F">
              <w:rPr>
                <w:noProof/>
                <w:webHidden/>
              </w:rPr>
              <w:tab/>
            </w:r>
            <w:r w:rsidR="008E4A6F">
              <w:rPr>
                <w:noProof/>
                <w:webHidden/>
              </w:rPr>
              <w:fldChar w:fldCharType="begin"/>
            </w:r>
            <w:r w:rsidR="008E4A6F">
              <w:rPr>
                <w:noProof/>
                <w:webHidden/>
              </w:rPr>
              <w:instrText xml:space="preserve"> PAGEREF _Toc479154850 \h </w:instrText>
            </w:r>
            <w:r w:rsidR="008E4A6F">
              <w:rPr>
                <w:noProof/>
                <w:webHidden/>
              </w:rPr>
            </w:r>
            <w:r w:rsidR="008E4A6F">
              <w:rPr>
                <w:noProof/>
                <w:webHidden/>
              </w:rPr>
              <w:fldChar w:fldCharType="separate"/>
            </w:r>
            <w:r w:rsidR="005F28B4">
              <w:rPr>
                <w:noProof/>
                <w:webHidden/>
              </w:rPr>
              <w:t>26</w:t>
            </w:r>
            <w:r w:rsidR="008E4A6F">
              <w:rPr>
                <w:noProof/>
                <w:webHidden/>
              </w:rPr>
              <w:fldChar w:fldCharType="end"/>
            </w:r>
          </w:hyperlink>
        </w:p>
        <w:p w14:paraId="39E86924" w14:textId="78FA6914"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51" w:history="1">
            <w:r w:rsidR="008E4A6F">
              <w:rPr>
                <w:rStyle w:val="Hiperligao"/>
                <w:rFonts w:eastAsiaTheme="majorEastAsia"/>
                <w:noProof/>
                <w:lang w:eastAsia="en-US"/>
              </w:rPr>
              <w:t>2.3.5</w:t>
            </w:r>
            <w:r w:rsidR="008E4A6F" w:rsidRPr="00A36430">
              <w:rPr>
                <w:rStyle w:val="Hiperligao"/>
                <w:rFonts w:eastAsiaTheme="majorEastAsia"/>
                <w:noProof/>
                <w:lang w:eastAsia="en-US"/>
              </w:rPr>
              <w:t xml:space="preserve"> Taninos</w:t>
            </w:r>
            <w:r w:rsidR="008E4A6F">
              <w:rPr>
                <w:noProof/>
                <w:webHidden/>
              </w:rPr>
              <w:tab/>
            </w:r>
            <w:r w:rsidR="008E4A6F">
              <w:rPr>
                <w:noProof/>
                <w:webHidden/>
              </w:rPr>
              <w:fldChar w:fldCharType="begin"/>
            </w:r>
            <w:r w:rsidR="008E4A6F">
              <w:rPr>
                <w:noProof/>
                <w:webHidden/>
              </w:rPr>
              <w:instrText xml:space="preserve"> PAGEREF _Toc479154851 \h </w:instrText>
            </w:r>
            <w:r w:rsidR="008E4A6F">
              <w:rPr>
                <w:noProof/>
                <w:webHidden/>
              </w:rPr>
            </w:r>
            <w:r w:rsidR="008E4A6F">
              <w:rPr>
                <w:noProof/>
                <w:webHidden/>
              </w:rPr>
              <w:fldChar w:fldCharType="separate"/>
            </w:r>
            <w:r w:rsidR="005F28B4">
              <w:rPr>
                <w:noProof/>
                <w:webHidden/>
              </w:rPr>
              <w:t>27</w:t>
            </w:r>
            <w:r w:rsidR="008E4A6F">
              <w:rPr>
                <w:noProof/>
                <w:webHidden/>
              </w:rPr>
              <w:fldChar w:fldCharType="end"/>
            </w:r>
          </w:hyperlink>
        </w:p>
        <w:p w14:paraId="2416536F" w14:textId="00D7893E"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52" w:history="1">
            <w:r w:rsidR="008E4A6F" w:rsidRPr="00A36430">
              <w:rPr>
                <w:rStyle w:val="Hiperligao"/>
                <w:rFonts w:eastAsia="Calibri"/>
                <w:noProof/>
                <w:lang w:eastAsia="en-US"/>
              </w:rPr>
              <w:t>2.3.6. Ácidos orgânicos</w:t>
            </w:r>
            <w:r w:rsidR="008E4A6F">
              <w:rPr>
                <w:noProof/>
                <w:webHidden/>
              </w:rPr>
              <w:tab/>
            </w:r>
            <w:r w:rsidR="008E4A6F">
              <w:rPr>
                <w:noProof/>
                <w:webHidden/>
              </w:rPr>
              <w:fldChar w:fldCharType="begin"/>
            </w:r>
            <w:r w:rsidR="008E4A6F">
              <w:rPr>
                <w:noProof/>
                <w:webHidden/>
              </w:rPr>
              <w:instrText xml:space="preserve"> PAGEREF _Toc479154852 \h </w:instrText>
            </w:r>
            <w:r w:rsidR="008E4A6F">
              <w:rPr>
                <w:noProof/>
                <w:webHidden/>
              </w:rPr>
            </w:r>
            <w:r w:rsidR="008E4A6F">
              <w:rPr>
                <w:noProof/>
                <w:webHidden/>
              </w:rPr>
              <w:fldChar w:fldCharType="separate"/>
            </w:r>
            <w:r w:rsidR="005F28B4">
              <w:rPr>
                <w:noProof/>
                <w:webHidden/>
              </w:rPr>
              <w:t>28</w:t>
            </w:r>
            <w:r w:rsidR="008E4A6F">
              <w:rPr>
                <w:noProof/>
                <w:webHidden/>
              </w:rPr>
              <w:fldChar w:fldCharType="end"/>
            </w:r>
          </w:hyperlink>
        </w:p>
        <w:p w14:paraId="078B9C80" w14:textId="3693835F" w:rsidR="008E4A6F" w:rsidRDefault="00A33331" w:rsidP="008E4A6F">
          <w:pPr>
            <w:pStyle w:val="ndice4"/>
            <w:tabs>
              <w:tab w:val="right" w:leader="dot" w:pos="8494"/>
            </w:tabs>
            <w:ind w:left="0" w:firstLine="0"/>
            <w:rPr>
              <w:rFonts w:asciiTheme="minorHAnsi" w:eastAsiaTheme="minorEastAsia" w:hAnsiTheme="minorHAnsi" w:cstheme="minorBidi"/>
              <w:noProof/>
              <w:color w:val="auto"/>
              <w:sz w:val="22"/>
            </w:rPr>
          </w:pPr>
          <w:r>
            <w:rPr>
              <w:noProof/>
            </w:rPr>
            <w:t xml:space="preserve">        </w:t>
          </w:r>
          <w:hyperlink w:anchor="_Toc479154853" w:history="1">
            <w:r w:rsidR="008E4A6F" w:rsidRPr="00A36430">
              <w:rPr>
                <w:rStyle w:val="Hiperligao"/>
                <w:rFonts w:eastAsia="Calibri"/>
                <w:noProof/>
                <w:lang w:val="pt-BR" w:eastAsia="en-US"/>
              </w:rPr>
              <w:t>2.3.7 Açúcares totais</w:t>
            </w:r>
            <w:r w:rsidR="008E4A6F">
              <w:rPr>
                <w:noProof/>
                <w:webHidden/>
              </w:rPr>
              <w:tab/>
            </w:r>
            <w:r w:rsidR="008E4A6F">
              <w:rPr>
                <w:noProof/>
                <w:webHidden/>
              </w:rPr>
              <w:fldChar w:fldCharType="begin"/>
            </w:r>
            <w:r w:rsidR="008E4A6F">
              <w:rPr>
                <w:noProof/>
                <w:webHidden/>
              </w:rPr>
              <w:instrText xml:space="preserve"> PAGEREF _Toc479154853 \h </w:instrText>
            </w:r>
            <w:r w:rsidR="008E4A6F">
              <w:rPr>
                <w:noProof/>
                <w:webHidden/>
              </w:rPr>
            </w:r>
            <w:r w:rsidR="008E4A6F">
              <w:rPr>
                <w:noProof/>
                <w:webHidden/>
              </w:rPr>
              <w:fldChar w:fldCharType="separate"/>
            </w:r>
            <w:r w:rsidR="005F28B4">
              <w:rPr>
                <w:noProof/>
                <w:webHidden/>
              </w:rPr>
              <w:t>29</w:t>
            </w:r>
            <w:r w:rsidR="008E4A6F">
              <w:rPr>
                <w:noProof/>
                <w:webHidden/>
              </w:rPr>
              <w:fldChar w:fldCharType="end"/>
            </w:r>
          </w:hyperlink>
        </w:p>
        <w:p w14:paraId="11FF7F71" w14:textId="7711AF20"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54" w:history="1">
            <w:r w:rsidR="008E4A6F">
              <w:rPr>
                <w:rStyle w:val="Hiperligao"/>
                <w:rFonts w:eastAsia="Calibri"/>
                <w:noProof/>
                <w:lang w:eastAsia="en-US"/>
              </w:rPr>
              <w:t>2.3.8</w:t>
            </w:r>
            <w:r w:rsidR="008E4A6F" w:rsidRPr="00A36430">
              <w:rPr>
                <w:rStyle w:val="Hiperligao"/>
                <w:rFonts w:eastAsia="Calibri"/>
                <w:noProof/>
                <w:lang w:eastAsia="en-US"/>
              </w:rPr>
              <w:t xml:space="preserve"> Teor de fibra</w:t>
            </w:r>
            <w:r w:rsidR="008E4A6F">
              <w:rPr>
                <w:noProof/>
                <w:webHidden/>
              </w:rPr>
              <w:tab/>
            </w:r>
            <w:r w:rsidR="008E4A6F">
              <w:rPr>
                <w:noProof/>
                <w:webHidden/>
              </w:rPr>
              <w:fldChar w:fldCharType="begin"/>
            </w:r>
            <w:r w:rsidR="008E4A6F">
              <w:rPr>
                <w:noProof/>
                <w:webHidden/>
              </w:rPr>
              <w:instrText xml:space="preserve"> PAGEREF _Toc479154854 \h </w:instrText>
            </w:r>
            <w:r w:rsidR="008E4A6F">
              <w:rPr>
                <w:noProof/>
                <w:webHidden/>
              </w:rPr>
            </w:r>
            <w:r w:rsidR="008E4A6F">
              <w:rPr>
                <w:noProof/>
                <w:webHidden/>
              </w:rPr>
              <w:fldChar w:fldCharType="separate"/>
            </w:r>
            <w:r w:rsidR="005F28B4">
              <w:rPr>
                <w:noProof/>
                <w:webHidden/>
              </w:rPr>
              <w:t>29</w:t>
            </w:r>
            <w:r w:rsidR="008E4A6F">
              <w:rPr>
                <w:noProof/>
                <w:webHidden/>
              </w:rPr>
              <w:fldChar w:fldCharType="end"/>
            </w:r>
          </w:hyperlink>
        </w:p>
        <w:p w14:paraId="11C8DA96" w14:textId="2D992245"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55" w:history="1">
            <w:r w:rsidR="008E4A6F" w:rsidRPr="00A36430">
              <w:rPr>
                <w:rStyle w:val="Hiperligao"/>
                <w:rFonts w:eastAsiaTheme="minorHAnsi"/>
                <w:noProof/>
                <w:lang w:eastAsia="en-US"/>
              </w:rPr>
              <w:t>3.Resultados e discussão</w:t>
            </w:r>
            <w:r w:rsidR="008E4A6F">
              <w:rPr>
                <w:noProof/>
                <w:webHidden/>
              </w:rPr>
              <w:tab/>
            </w:r>
            <w:r w:rsidR="008E4A6F">
              <w:rPr>
                <w:noProof/>
                <w:webHidden/>
              </w:rPr>
              <w:fldChar w:fldCharType="begin"/>
            </w:r>
            <w:r w:rsidR="008E4A6F">
              <w:rPr>
                <w:noProof/>
                <w:webHidden/>
              </w:rPr>
              <w:instrText xml:space="preserve"> PAGEREF _Toc479154855 \h </w:instrText>
            </w:r>
            <w:r w:rsidR="008E4A6F">
              <w:rPr>
                <w:noProof/>
                <w:webHidden/>
              </w:rPr>
            </w:r>
            <w:r w:rsidR="008E4A6F">
              <w:rPr>
                <w:noProof/>
                <w:webHidden/>
              </w:rPr>
              <w:fldChar w:fldCharType="separate"/>
            </w:r>
            <w:r w:rsidR="005F28B4">
              <w:rPr>
                <w:noProof/>
                <w:webHidden/>
              </w:rPr>
              <w:t>33</w:t>
            </w:r>
            <w:r w:rsidR="008E4A6F">
              <w:rPr>
                <w:noProof/>
                <w:webHidden/>
              </w:rPr>
              <w:fldChar w:fldCharType="end"/>
            </w:r>
          </w:hyperlink>
        </w:p>
        <w:p w14:paraId="6176595F" w14:textId="192F24B4" w:rsidR="008E4A6F" w:rsidRDefault="00805B44">
          <w:pPr>
            <w:pStyle w:val="ndice2"/>
            <w:tabs>
              <w:tab w:val="right" w:leader="dot" w:pos="8494"/>
            </w:tabs>
            <w:rPr>
              <w:rFonts w:asciiTheme="minorHAnsi" w:eastAsiaTheme="minorEastAsia" w:hAnsiTheme="minorHAnsi" w:cstheme="minorBidi"/>
              <w:noProof/>
              <w:color w:val="auto"/>
              <w:sz w:val="22"/>
            </w:rPr>
          </w:pPr>
          <w:hyperlink w:anchor="_Toc479154856" w:history="1">
            <w:r w:rsidR="008E4A6F" w:rsidRPr="00A36430">
              <w:rPr>
                <w:rStyle w:val="Hiperligao"/>
                <w:rFonts w:eastAsiaTheme="minorHAnsi"/>
                <w:noProof/>
                <w:lang w:eastAsia="en-US"/>
              </w:rPr>
              <w:t>3.1 Fruto</w:t>
            </w:r>
            <w:r w:rsidR="008E4A6F">
              <w:rPr>
                <w:noProof/>
                <w:webHidden/>
              </w:rPr>
              <w:tab/>
            </w:r>
            <w:r w:rsidR="008E4A6F">
              <w:rPr>
                <w:noProof/>
                <w:webHidden/>
              </w:rPr>
              <w:fldChar w:fldCharType="begin"/>
            </w:r>
            <w:r w:rsidR="008E4A6F">
              <w:rPr>
                <w:noProof/>
                <w:webHidden/>
              </w:rPr>
              <w:instrText xml:space="preserve"> PAGEREF _Toc479154856 \h </w:instrText>
            </w:r>
            <w:r w:rsidR="008E4A6F">
              <w:rPr>
                <w:noProof/>
                <w:webHidden/>
              </w:rPr>
            </w:r>
            <w:r w:rsidR="008E4A6F">
              <w:rPr>
                <w:noProof/>
                <w:webHidden/>
              </w:rPr>
              <w:fldChar w:fldCharType="separate"/>
            </w:r>
            <w:r w:rsidR="005F28B4">
              <w:rPr>
                <w:noProof/>
                <w:webHidden/>
              </w:rPr>
              <w:t>33</w:t>
            </w:r>
            <w:r w:rsidR="008E4A6F">
              <w:rPr>
                <w:noProof/>
                <w:webHidden/>
              </w:rPr>
              <w:fldChar w:fldCharType="end"/>
            </w:r>
          </w:hyperlink>
        </w:p>
        <w:p w14:paraId="144F8A26" w14:textId="4C9CCBF9"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57" w:history="1">
            <w:r w:rsidR="008E4A6F" w:rsidRPr="00A36430">
              <w:rPr>
                <w:rStyle w:val="Hiperligao"/>
                <w:rFonts w:eastAsiaTheme="minorHAnsi"/>
                <w:noProof/>
                <w:lang w:eastAsia="en-US"/>
              </w:rPr>
              <w:t>3.1.1 Parâmetros gerais de qualidade</w:t>
            </w:r>
            <w:r w:rsidR="008E4A6F">
              <w:rPr>
                <w:noProof/>
                <w:webHidden/>
              </w:rPr>
              <w:tab/>
            </w:r>
            <w:r w:rsidR="008E4A6F">
              <w:rPr>
                <w:noProof/>
                <w:webHidden/>
              </w:rPr>
              <w:fldChar w:fldCharType="begin"/>
            </w:r>
            <w:r w:rsidR="008E4A6F">
              <w:rPr>
                <w:noProof/>
                <w:webHidden/>
              </w:rPr>
              <w:instrText xml:space="preserve"> PAGEREF _Toc479154857 \h </w:instrText>
            </w:r>
            <w:r w:rsidR="008E4A6F">
              <w:rPr>
                <w:noProof/>
                <w:webHidden/>
              </w:rPr>
            </w:r>
            <w:r w:rsidR="008E4A6F">
              <w:rPr>
                <w:noProof/>
                <w:webHidden/>
              </w:rPr>
              <w:fldChar w:fldCharType="separate"/>
            </w:r>
            <w:r w:rsidR="005F28B4">
              <w:rPr>
                <w:noProof/>
                <w:webHidden/>
              </w:rPr>
              <w:t>33</w:t>
            </w:r>
            <w:r w:rsidR="008E4A6F">
              <w:rPr>
                <w:noProof/>
                <w:webHidden/>
              </w:rPr>
              <w:fldChar w:fldCharType="end"/>
            </w:r>
          </w:hyperlink>
        </w:p>
        <w:p w14:paraId="4A739837" w14:textId="4ECC8028"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58" w:history="1">
            <w:r w:rsidR="008E4A6F" w:rsidRPr="00A36430">
              <w:rPr>
                <w:rStyle w:val="Hiperligao"/>
                <w:rFonts w:eastAsiaTheme="minorHAnsi"/>
                <w:noProof/>
                <w:lang w:eastAsia="en-US"/>
              </w:rPr>
              <w:t>3.1.1.1 Diâmetro, comprimento e peso</w:t>
            </w:r>
            <w:r w:rsidR="008E4A6F">
              <w:rPr>
                <w:noProof/>
                <w:webHidden/>
              </w:rPr>
              <w:tab/>
            </w:r>
            <w:r w:rsidR="008E4A6F">
              <w:rPr>
                <w:noProof/>
                <w:webHidden/>
              </w:rPr>
              <w:fldChar w:fldCharType="begin"/>
            </w:r>
            <w:r w:rsidR="008E4A6F">
              <w:rPr>
                <w:noProof/>
                <w:webHidden/>
              </w:rPr>
              <w:instrText xml:space="preserve"> PAGEREF _Toc479154858 \h </w:instrText>
            </w:r>
            <w:r w:rsidR="008E4A6F">
              <w:rPr>
                <w:noProof/>
                <w:webHidden/>
              </w:rPr>
            </w:r>
            <w:r w:rsidR="008E4A6F">
              <w:rPr>
                <w:noProof/>
                <w:webHidden/>
              </w:rPr>
              <w:fldChar w:fldCharType="separate"/>
            </w:r>
            <w:r w:rsidR="005F28B4">
              <w:rPr>
                <w:noProof/>
                <w:webHidden/>
              </w:rPr>
              <w:t>33</w:t>
            </w:r>
            <w:r w:rsidR="008E4A6F">
              <w:rPr>
                <w:noProof/>
                <w:webHidden/>
              </w:rPr>
              <w:fldChar w:fldCharType="end"/>
            </w:r>
          </w:hyperlink>
        </w:p>
        <w:p w14:paraId="4FA3499A" w14:textId="17BD730C"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59" w:history="1">
            <w:r w:rsidR="008E4A6F" w:rsidRPr="00A36430">
              <w:rPr>
                <w:rStyle w:val="Hiperligao"/>
                <w:rFonts w:eastAsiaTheme="minorHAnsi"/>
                <w:noProof/>
                <w:lang w:eastAsia="en-US"/>
              </w:rPr>
              <w:t>3.1.1.2 Luminosidade (L*)</w:t>
            </w:r>
            <w:r w:rsidR="008E4A6F">
              <w:rPr>
                <w:noProof/>
                <w:webHidden/>
              </w:rPr>
              <w:tab/>
            </w:r>
            <w:r w:rsidR="008E4A6F">
              <w:rPr>
                <w:noProof/>
                <w:webHidden/>
              </w:rPr>
              <w:fldChar w:fldCharType="begin"/>
            </w:r>
            <w:r w:rsidR="008E4A6F">
              <w:rPr>
                <w:noProof/>
                <w:webHidden/>
              </w:rPr>
              <w:instrText xml:space="preserve"> PAGEREF _Toc479154859 \h </w:instrText>
            </w:r>
            <w:r w:rsidR="008E4A6F">
              <w:rPr>
                <w:noProof/>
                <w:webHidden/>
              </w:rPr>
            </w:r>
            <w:r w:rsidR="008E4A6F">
              <w:rPr>
                <w:noProof/>
                <w:webHidden/>
              </w:rPr>
              <w:fldChar w:fldCharType="separate"/>
            </w:r>
            <w:r w:rsidR="005F28B4">
              <w:rPr>
                <w:noProof/>
                <w:webHidden/>
              </w:rPr>
              <w:t>35</w:t>
            </w:r>
            <w:r w:rsidR="008E4A6F">
              <w:rPr>
                <w:noProof/>
                <w:webHidden/>
              </w:rPr>
              <w:fldChar w:fldCharType="end"/>
            </w:r>
          </w:hyperlink>
        </w:p>
        <w:p w14:paraId="464B67B2" w14:textId="65758B77"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0" w:history="1">
            <w:r w:rsidR="008E4A6F" w:rsidRPr="00A36430">
              <w:rPr>
                <w:rStyle w:val="Hiperligao"/>
                <w:rFonts w:eastAsiaTheme="majorEastAsia"/>
                <w:noProof/>
              </w:rPr>
              <w:t>3.1.1.3 Parâmetro cor a*</w:t>
            </w:r>
            <w:r w:rsidR="008E4A6F">
              <w:rPr>
                <w:noProof/>
                <w:webHidden/>
              </w:rPr>
              <w:tab/>
            </w:r>
            <w:r w:rsidR="008E4A6F">
              <w:rPr>
                <w:noProof/>
                <w:webHidden/>
              </w:rPr>
              <w:fldChar w:fldCharType="begin"/>
            </w:r>
            <w:r w:rsidR="008E4A6F">
              <w:rPr>
                <w:noProof/>
                <w:webHidden/>
              </w:rPr>
              <w:instrText xml:space="preserve"> PAGEREF _Toc479154860 \h </w:instrText>
            </w:r>
            <w:r w:rsidR="008E4A6F">
              <w:rPr>
                <w:noProof/>
                <w:webHidden/>
              </w:rPr>
            </w:r>
            <w:r w:rsidR="008E4A6F">
              <w:rPr>
                <w:noProof/>
                <w:webHidden/>
              </w:rPr>
              <w:fldChar w:fldCharType="separate"/>
            </w:r>
            <w:r w:rsidR="005F28B4">
              <w:rPr>
                <w:noProof/>
                <w:webHidden/>
              </w:rPr>
              <w:t>36</w:t>
            </w:r>
            <w:r w:rsidR="008E4A6F">
              <w:rPr>
                <w:noProof/>
                <w:webHidden/>
              </w:rPr>
              <w:fldChar w:fldCharType="end"/>
            </w:r>
          </w:hyperlink>
        </w:p>
        <w:p w14:paraId="55D5EDD5" w14:textId="295D371C"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1" w:history="1">
            <w:r w:rsidR="008E4A6F" w:rsidRPr="00A36430">
              <w:rPr>
                <w:rStyle w:val="Hiperligao"/>
                <w:rFonts w:eastAsiaTheme="minorHAnsi"/>
                <w:noProof/>
                <w:lang w:eastAsia="en-US"/>
              </w:rPr>
              <w:t>3.1.1.4 Parâmetro cor (b*)</w:t>
            </w:r>
            <w:r w:rsidR="008E4A6F">
              <w:rPr>
                <w:noProof/>
                <w:webHidden/>
              </w:rPr>
              <w:tab/>
            </w:r>
            <w:r w:rsidR="008E4A6F">
              <w:rPr>
                <w:noProof/>
                <w:webHidden/>
              </w:rPr>
              <w:fldChar w:fldCharType="begin"/>
            </w:r>
            <w:r w:rsidR="008E4A6F">
              <w:rPr>
                <w:noProof/>
                <w:webHidden/>
              </w:rPr>
              <w:instrText xml:space="preserve"> PAGEREF _Toc479154861 \h </w:instrText>
            </w:r>
            <w:r w:rsidR="008E4A6F">
              <w:rPr>
                <w:noProof/>
                <w:webHidden/>
              </w:rPr>
            </w:r>
            <w:r w:rsidR="008E4A6F">
              <w:rPr>
                <w:noProof/>
                <w:webHidden/>
              </w:rPr>
              <w:fldChar w:fldCharType="separate"/>
            </w:r>
            <w:r w:rsidR="005F28B4">
              <w:rPr>
                <w:noProof/>
                <w:webHidden/>
              </w:rPr>
              <w:t>37</w:t>
            </w:r>
            <w:r w:rsidR="008E4A6F">
              <w:rPr>
                <w:noProof/>
                <w:webHidden/>
              </w:rPr>
              <w:fldChar w:fldCharType="end"/>
            </w:r>
          </w:hyperlink>
        </w:p>
        <w:p w14:paraId="0B11D9E0" w14:textId="496DB6D1"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2" w:history="1">
            <w:r w:rsidR="008E4A6F" w:rsidRPr="00A36430">
              <w:rPr>
                <w:rStyle w:val="Hiperligao"/>
                <w:rFonts w:eastAsiaTheme="minorHAnsi"/>
                <w:noProof/>
                <w:lang w:eastAsia="en-US"/>
              </w:rPr>
              <w:t>3.1.1.5 Hue (h°)</w:t>
            </w:r>
            <w:r w:rsidR="008E4A6F">
              <w:rPr>
                <w:noProof/>
                <w:webHidden/>
              </w:rPr>
              <w:tab/>
            </w:r>
            <w:r w:rsidR="008E4A6F">
              <w:rPr>
                <w:noProof/>
                <w:webHidden/>
              </w:rPr>
              <w:fldChar w:fldCharType="begin"/>
            </w:r>
            <w:r w:rsidR="008E4A6F">
              <w:rPr>
                <w:noProof/>
                <w:webHidden/>
              </w:rPr>
              <w:instrText xml:space="preserve"> PAGEREF _Toc479154862 \h </w:instrText>
            </w:r>
            <w:r w:rsidR="008E4A6F">
              <w:rPr>
                <w:noProof/>
                <w:webHidden/>
              </w:rPr>
            </w:r>
            <w:r w:rsidR="008E4A6F">
              <w:rPr>
                <w:noProof/>
                <w:webHidden/>
              </w:rPr>
              <w:fldChar w:fldCharType="separate"/>
            </w:r>
            <w:r w:rsidR="005F28B4">
              <w:rPr>
                <w:noProof/>
                <w:webHidden/>
              </w:rPr>
              <w:t>38</w:t>
            </w:r>
            <w:r w:rsidR="008E4A6F">
              <w:rPr>
                <w:noProof/>
                <w:webHidden/>
              </w:rPr>
              <w:fldChar w:fldCharType="end"/>
            </w:r>
          </w:hyperlink>
        </w:p>
        <w:p w14:paraId="46E02384" w14:textId="7B92196C"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3" w:history="1">
            <w:r w:rsidR="008E4A6F" w:rsidRPr="00A36430">
              <w:rPr>
                <w:rStyle w:val="Hiperligao"/>
                <w:rFonts w:eastAsiaTheme="minorHAnsi"/>
                <w:noProof/>
                <w:lang w:eastAsia="en-US"/>
              </w:rPr>
              <w:t>3.1.1.6 Croma (C*)</w:t>
            </w:r>
            <w:r w:rsidR="008E4A6F">
              <w:rPr>
                <w:noProof/>
                <w:webHidden/>
              </w:rPr>
              <w:tab/>
            </w:r>
            <w:r w:rsidR="008E4A6F">
              <w:rPr>
                <w:noProof/>
                <w:webHidden/>
              </w:rPr>
              <w:fldChar w:fldCharType="begin"/>
            </w:r>
            <w:r w:rsidR="008E4A6F">
              <w:rPr>
                <w:noProof/>
                <w:webHidden/>
              </w:rPr>
              <w:instrText xml:space="preserve"> PAGEREF _Toc479154863 \h </w:instrText>
            </w:r>
            <w:r w:rsidR="008E4A6F">
              <w:rPr>
                <w:noProof/>
                <w:webHidden/>
              </w:rPr>
            </w:r>
            <w:r w:rsidR="008E4A6F">
              <w:rPr>
                <w:noProof/>
                <w:webHidden/>
              </w:rPr>
              <w:fldChar w:fldCharType="separate"/>
            </w:r>
            <w:r w:rsidR="005F28B4">
              <w:rPr>
                <w:noProof/>
                <w:webHidden/>
              </w:rPr>
              <w:t>39</w:t>
            </w:r>
            <w:r w:rsidR="008E4A6F">
              <w:rPr>
                <w:noProof/>
                <w:webHidden/>
              </w:rPr>
              <w:fldChar w:fldCharType="end"/>
            </w:r>
          </w:hyperlink>
        </w:p>
        <w:p w14:paraId="1FBF6130" w14:textId="4F27B91C"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4" w:history="1">
            <w:r w:rsidR="008E4A6F" w:rsidRPr="00A36430">
              <w:rPr>
                <w:rStyle w:val="Hiperligao"/>
                <w:rFonts w:eastAsiaTheme="majorEastAsia"/>
                <w:noProof/>
                <w:lang w:eastAsia="en-US"/>
              </w:rPr>
              <w:t>3.1.1.7 Firmeza</w:t>
            </w:r>
            <w:r w:rsidR="008E4A6F">
              <w:rPr>
                <w:noProof/>
                <w:webHidden/>
              </w:rPr>
              <w:tab/>
            </w:r>
            <w:r w:rsidR="008E4A6F">
              <w:rPr>
                <w:noProof/>
                <w:webHidden/>
              </w:rPr>
              <w:fldChar w:fldCharType="begin"/>
            </w:r>
            <w:r w:rsidR="008E4A6F">
              <w:rPr>
                <w:noProof/>
                <w:webHidden/>
              </w:rPr>
              <w:instrText xml:space="preserve"> PAGEREF _Toc479154864 \h </w:instrText>
            </w:r>
            <w:r w:rsidR="008E4A6F">
              <w:rPr>
                <w:noProof/>
                <w:webHidden/>
              </w:rPr>
            </w:r>
            <w:r w:rsidR="008E4A6F">
              <w:rPr>
                <w:noProof/>
                <w:webHidden/>
              </w:rPr>
              <w:fldChar w:fldCharType="separate"/>
            </w:r>
            <w:r w:rsidR="005F28B4">
              <w:rPr>
                <w:noProof/>
                <w:webHidden/>
              </w:rPr>
              <w:t>40</w:t>
            </w:r>
            <w:r w:rsidR="008E4A6F">
              <w:rPr>
                <w:noProof/>
                <w:webHidden/>
              </w:rPr>
              <w:fldChar w:fldCharType="end"/>
            </w:r>
          </w:hyperlink>
        </w:p>
        <w:p w14:paraId="0C0026F0" w14:textId="7C5B18C3"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5" w:history="1">
            <w:r w:rsidR="008E4A6F" w:rsidRPr="00A36430">
              <w:rPr>
                <w:rStyle w:val="Hiperligao"/>
                <w:rFonts w:eastAsiaTheme="majorEastAsia"/>
                <w:noProof/>
                <w:lang w:eastAsia="en-US"/>
              </w:rPr>
              <w:t>3.1.1.8 °Brix</w:t>
            </w:r>
            <w:r w:rsidR="008E4A6F">
              <w:rPr>
                <w:noProof/>
                <w:webHidden/>
              </w:rPr>
              <w:tab/>
            </w:r>
            <w:r w:rsidR="008E4A6F">
              <w:rPr>
                <w:noProof/>
                <w:webHidden/>
              </w:rPr>
              <w:fldChar w:fldCharType="begin"/>
            </w:r>
            <w:r w:rsidR="008E4A6F">
              <w:rPr>
                <w:noProof/>
                <w:webHidden/>
              </w:rPr>
              <w:instrText xml:space="preserve"> PAGEREF _Toc479154865 \h </w:instrText>
            </w:r>
            <w:r w:rsidR="008E4A6F">
              <w:rPr>
                <w:noProof/>
                <w:webHidden/>
              </w:rPr>
            </w:r>
            <w:r w:rsidR="008E4A6F">
              <w:rPr>
                <w:noProof/>
                <w:webHidden/>
              </w:rPr>
              <w:fldChar w:fldCharType="separate"/>
            </w:r>
            <w:r w:rsidR="005F28B4">
              <w:rPr>
                <w:noProof/>
                <w:webHidden/>
              </w:rPr>
              <w:t>41</w:t>
            </w:r>
            <w:r w:rsidR="008E4A6F">
              <w:rPr>
                <w:noProof/>
                <w:webHidden/>
              </w:rPr>
              <w:fldChar w:fldCharType="end"/>
            </w:r>
          </w:hyperlink>
        </w:p>
        <w:p w14:paraId="7CE27703" w14:textId="09BA2917"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6" w:history="1">
            <w:r w:rsidR="008E4A6F" w:rsidRPr="00A36430">
              <w:rPr>
                <w:rStyle w:val="Hiperligao"/>
                <w:rFonts w:eastAsiaTheme="majorEastAsia"/>
                <w:noProof/>
                <w:lang w:eastAsia="en-US"/>
              </w:rPr>
              <w:t>3.1.1.9 pH e acidez titulável</w:t>
            </w:r>
            <w:r w:rsidR="008E4A6F">
              <w:rPr>
                <w:noProof/>
                <w:webHidden/>
              </w:rPr>
              <w:tab/>
            </w:r>
            <w:r w:rsidR="008E4A6F">
              <w:rPr>
                <w:noProof/>
                <w:webHidden/>
              </w:rPr>
              <w:fldChar w:fldCharType="begin"/>
            </w:r>
            <w:r w:rsidR="008E4A6F">
              <w:rPr>
                <w:noProof/>
                <w:webHidden/>
              </w:rPr>
              <w:instrText xml:space="preserve"> PAGEREF _Toc479154866 \h </w:instrText>
            </w:r>
            <w:r w:rsidR="008E4A6F">
              <w:rPr>
                <w:noProof/>
                <w:webHidden/>
              </w:rPr>
            </w:r>
            <w:r w:rsidR="008E4A6F">
              <w:rPr>
                <w:noProof/>
                <w:webHidden/>
              </w:rPr>
              <w:fldChar w:fldCharType="separate"/>
            </w:r>
            <w:r w:rsidR="005F28B4">
              <w:rPr>
                <w:noProof/>
                <w:webHidden/>
              </w:rPr>
              <w:t>42</w:t>
            </w:r>
            <w:r w:rsidR="008E4A6F">
              <w:rPr>
                <w:noProof/>
                <w:webHidden/>
              </w:rPr>
              <w:fldChar w:fldCharType="end"/>
            </w:r>
          </w:hyperlink>
        </w:p>
        <w:p w14:paraId="16FCA647" w14:textId="7F5F05E7" w:rsidR="008E4A6F" w:rsidRDefault="000871BF">
          <w:pPr>
            <w:pStyle w:val="ndice2"/>
            <w:tabs>
              <w:tab w:val="right" w:leader="dot" w:pos="8494"/>
            </w:tabs>
            <w:rPr>
              <w:rFonts w:asciiTheme="minorHAnsi" w:eastAsiaTheme="minorEastAsia" w:hAnsiTheme="minorHAnsi" w:cstheme="minorBidi"/>
              <w:noProof/>
              <w:color w:val="auto"/>
              <w:sz w:val="22"/>
            </w:rPr>
          </w:pPr>
          <w:r>
            <w:rPr>
              <w:noProof/>
            </w:rPr>
            <w:t xml:space="preserve">     </w:t>
          </w:r>
          <w:hyperlink w:anchor="_Toc479154867" w:history="1">
            <w:r w:rsidR="008E4A6F" w:rsidRPr="00A36430">
              <w:rPr>
                <w:rStyle w:val="Hiperligao"/>
                <w:rFonts w:eastAsiaTheme="majorEastAsia"/>
                <w:noProof/>
                <w:lang w:eastAsia="en-US"/>
              </w:rPr>
              <w:t>3.1.2 Compostos fenólicos</w:t>
            </w:r>
            <w:r w:rsidR="008E4A6F">
              <w:rPr>
                <w:noProof/>
                <w:webHidden/>
              </w:rPr>
              <w:tab/>
            </w:r>
            <w:r w:rsidR="008E4A6F">
              <w:rPr>
                <w:noProof/>
                <w:webHidden/>
              </w:rPr>
              <w:fldChar w:fldCharType="begin"/>
            </w:r>
            <w:r w:rsidR="008E4A6F">
              <w:rPr>
                <w:noProof/>
                <w:webHidden/>
              </w:rPr>
              <w:instrText xml:space="preserve"> PAGEREF _Toc479154867 \h </w:instrText>
            </w:r>
            <w:r w:rsidR="008E4A6F">
              <w:rPr>
                <w:noProof/>
                <w:webHidden/>
              </w:rPr>
            </w:r>
            <w:r w:rsidR="008E4A6F">
              <w:rPr>
                <w:noProof/>
                <w:webHidden/>
              </w:rPr>
              <w:fldChar w:fldCharType="separate"/>
            </w:r>
            <w:r w:rsidR="005F28B4">
              <w:rPr>
                <w:noProof/>
                <w:webHidden/>
              </w:rPr>
              <w:t>44</w:t>
            </w:r>
            <w:r w:rsidR="008E4A6F">
              <w:rPr>
                <w:noProof/>
                <w:webHidden/>
              </w:rPr>
              <w:fldChar w:fldCharType="end"/>
            </w:r>
          </w:hyperlink>
        </w:p>
        <w:p w14:paraId="7583B2C1" w14:textId="6E493F03"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8" w:history="1">
            <w:r w:rsidR="008E4A6F" w:rsidRPr="00A36430">
              <w:rPr>
                <w:rStyle w:val="Hiperligao"/>
                <w:rFonts w:eastAsiaTheme="majorEastAsia"/>
                <w:noProof/>
                <w:lang w:eastAsia="en-US"/>
              </w:rPr>
              <w:t>3.1.2.1 Fenóis totais</w:t>
            </w:r>
            <w:r w:rsidR="008E4A6F">
              <w:rPr>
                <w:noProof/>
                <w:webHidden/>
              </w:rPr>
              <w:tab/>
            </w:r>
            <w:r w:rsidR="008E4A6F">
              <w:rPr>
                <w:noProof/>
                <w:webHidden/>
              </w:rPr>
              <w:fldChar w:fldCharType="begin"/>
            </w:r>
            <w:r w:rsidR="008E4A6F">
              <w:rPr>
                <w:noProof/>
                <w:webHidden/>
              </w:rPr>
              <w:instrText xml:space="preserve"> PAGEREF _Toc479154868 \h </w:instrText>
            </w:r>
            <w:r w:rsidR="008E4A6F">
              <w:rPr>
                <w:noProof/>
                <w:webHidden/>
              </w:rPr>
            </w:r>
            <w:r w:rsidR="008E4A6F">
              <w:rPr>
                <w:noProof/>
                <w:webHidden/>
              </w:rPr>
              <w:fldChar w:fldCharType="separate"/>
            </w:r>
            <w:r w:rsidR="005F28B4">
              <w:rPr>
                <w:noProof/>
                <w:webHidden/>
              </w:rPr>
              <w:t>44</w:t>
            </w:r>
            <w:r w:rsidR="008E4A6F">
              <w:rPr>
                <w:noProof/>
                <w:webHidden/>
              </w:rPr>
              <w:fldChar w:fldCharType="end"/>
            </w:r>
          </w:hyperlink>
        </w:p>
        <w:p w14:paraId="586D8275" w14:textId="17326E1A" w:rsidR="008E4A6F" w:rsidRDefault="00805B44">
          <w:pPr>
            <w:pStyle w:val="ndice4"/>
            <w:tabs>
              <w:tab w:val="right" w:leader="dot" w:pos="8494"/>
            </w:tabs>
            <w:rPr>
              <w:rFonts w:asciiTheme="minorHAnsi" w:eastAsiaTheme="minorEastAsia" w:hAnsiTheme="minorHAnsi" w:cstheme="minorBidi"/>
              <w:noProof/>
              <w:color w:val="auto"/>
              <w:sz w:val="22"/>
            </w:rPr>
          </w:pPr>
          <w:hyperlink w:anchor="_Toc479154869" w:history="1">
            <w:r w:rsidR="008E4A6F" w:rsidRPr="00A36430">
              <w:rPr>
                <w:rStyle w:val="Hiperligao"/>
                <w:rFonts w:eastAsiaTheme="majorEastAsia"/>
                <w:noProof/>
                <w:lang w:eastAsia="en-US"/>
              </w:rPr>
              <w:t>3.1.2.2 Actividade antioxidante</w:t>
            </w:r>
            <w:r w:rsidR="008E4A6F">
              <w:rPr>
                <w:noProof/>
                <w:webHidden/>
              </w:rPr>
              <w:tab/>
            </w:r>
            <w:r w:rsidR="008E4A6F">
              <w:rPr>
                <w:noProof/>
                <w:webHidden/>
              </w:rPr>
              <w:fldChar w:fldCharType="begin"/>
            </w:r>
            <w:r w:rsidR="008E4A6F">
              <w:rPr>
                <w:noProof/>
                <w:webHidden/>
              </w:rPr>
              <w:instrText xml:space="preserve"> PAGEREF _Toc479154869 \h </w:instrText>
            </w:r>
            <w:r w:rsidR="008E4A6F">
              <w:rPr>
                <w:noProof/>
                <w:webHidden/>
              </w:rPr>
            </w:r>
            <w:r w:rsidR="008E4A6F">
              <w:rPr>
                <w:noProof/>
                <w:webHidden/>
              </w:rPr>
              <w:fldChar w:fldCharType="separate"/>
            </w:r>
            <w:r w:rsidR="005F28B4">
              <w:rPr>
                <w:noProof/>
                <w:webHidden/>
              </w:rPr>
              <w:t>46</w:t>
            </w:r>
            <w:r w:rsidR="008E4A6F">
              <w:rPr>
                <w:noProof/>
                <w:webHidden/>
              </w:rPr>
              <w:fldChar w:fldCharType="end"/>
            </w:r>
          </w:hyperlink>
        </w:p>
        <w:p w14:paraId="7C32B584" w14:textId="6E6FB90C" w:rsidR="008E4A6F" w:rsidRDefault="00A33331">
          <w:pPr>
            <w:pStyle w:val="ndice4"/>
            <w:tabs>
              <w:tab w:val="right" w:leader="dot" w:pos="8494"/>
            </w:tabs>
            <w:rPr>
              <w:rFonts w:asciiTheme="minorHAnsi" w:eastAsiaTheme="minorEastAsia" w:hAnsiTheme="minorHAnsi" w:cstheme="minorBidi"/>
              <w:noProof/>
              <w:color w:val="auto"/>
              <w:sz w:val="22"/>
            </w:rPr>
          </w:pPr>
          <w:r>
            <w:rPr>
              <w:rStyle w:val="Hiperligao"/>
              <w:rFonts w:eastAsiaTheme="majorEastAsia"/>
              <w:noProof/>
              <w:u w:val="none"/>
            </w:rPr>
            <w:t xml:space="preserve">   </w:t>
          </w:r>
          <w:hyperlink w:anchor="_Toc479154870" w:history="1">
            <w:r w:rsidR="008E4A6F" w:rsidRPr="00A36430">
              <w:rPr>
                <w:rStyle w:val="Hiperligao"/>
                <w:rFonts w:eastAsiaTheme="majorEastAsia"/>
                <w:noProof/>
                <w:lang w:eastAsia="en-US"/>
              </w:rPr>
              <w:t>3.1.2.2.1. Método TEAC</w:t>
            </w:r>
            <w:r w:rsidR="008E4A6F">
              <w:rPr>
                <w:noProof/>
                <w:webHidden/>
              </w:rPr>
              <w:tab/>
            </w:r>
            <w:r w:rsidR="008E4A6F">
              <w:rPr>
                <w:noProof/>
                <w:webHidden/>
              </w:rPr>
              <w:fldChar w:fldCharType="begin"/>
            </w:r>
            <w:r w:rsidR="008E4A6F">
              <w:rPr>
                <w:noProof/>
                <w:webHidden/>
              </w:rPr>
              <w:instrText xml:space="preserve"> PAGEREF _Toc479154870 \h </w:instrText>
            </w:r>
            <w:r w:rsidR="008E4A6F">
              <w:rPr>
                <w:noProof/>
                <w:webHidden/>
              </w:rPr>
            </w:r>
            <w:r w:rsidR="008E4A6F">
              <w:rPr>
                <w:noProof/>
                <w:webHidden/>
              </w:rPr>
              <w:fldChar w:fldCharType="separate"/>
            </w:r>
            <w:r w:rsidR="005F28B4">
              <w:rPr>
                <w:noProof/>
                <w:webHidden/>
              </w:rPr>
              <w:t>46</w:t>
            </w:r>
            <w:r w:rsidR="008E4A6F">
              <w:rPr>
                <w:noProof/>
                <w:webHidden/>
              </w:rPr>
              <w:fldChar w:fldCharType="end"/>
            </w:r>
          </w:hyperlink>
        </w:p>
        <w:p w14:paraId="406A8230" w14:textId="5529DBC2" w:rsidR="008E4A6F" w:rsidRDefault="00A33331">
          <w:pPr>
            <w:pStyle w:val="ndice4"/>
            <w:tabs>
              <w:tab w:val="right" w:leader="dot" w:pos="8494"/>
            </w:tabs>
            <w:rPr>
              <w:rFonts w:asciiTheme="minorHAnsi" w:eastAsiaTheme="minorEastAsia" w:hAnsiTheme="minorHAnsi" w:cstheme="minorBidi"/>
              <w:noProof/>
              <w:color w:val="auto"/>
              <w:sz w:val="22"/>
            </w:rPr>
          </w:pPr>
          <w:r>
            <w:rPr>
              <w:rStyle w:val="Hiperligao"/>
              <w:rFonts w:eastAsiaTheme="majorEastAsia"/>
              <w:noProof/>
              <w:u w:val="none"/>
            </w:rPr>
            <w:t xml:space="preserve">   </w:t>
          </w:r>
          <w:hyperlink w:anchor="_Toc479154871" w:history="1">
            <w:r w:rsidR="008E4A6F" w:rsidRPr="00A36430">
              <w:rPr>
                <w:rStyle w:val="Hiperligao"/>
                <w:rFonts w:eastAsiaTheme="majorEastAsia"/>
                <w:noProof/>
                <w:lang w:eastAsia="en-US"/>
              </w:rPr>
              <w:t>3.1.2.2.2 Método DPPH</w:t>
            </w:r>
            <w:r w:rsidR="008E4A6F">
              <w:rPr>
                <w:noProof/>
                <w:webHidden/>
              </w:rPr>
              <w:tab/>
            </w:r>
            <w:r w:rsidR="008E4A6F">
              <w:rPr>
                <w:noProof/>
                <w:webHidden/>
              </w:rPr>
              <w:fldChar w:fldCharType="begin"/>
            </w:r>
            <w:r w:rsidR="008E4A6F">
              <w:rPr>
                <w:noProof/>
                <w:webHidden/>
              </w:rPr>
              <w:instrText xml:space="preserve"> PAGEREF _Toc479154871 \h </w:instrText>
            </w:r>
            <w:r w:rsidR="008E4A6F">
              <w:rPr>
                <w:noProof/>
                <w:webHidden/>
              </w:rPr>
            </w:r>
            <w:r w:rsidR="008E4A6F">
              <w:rPr>
                <w:noProof/>
                <w:webHidden/>
              </w:rPr>
              <w:fldChar w:fldCharType="separate"/>
            </w:r>
            <w:r w:rsidR="005F28B4">
              <w:rPr>
                <w:noProof/>
                <w:webHidden/>
              </w:rPr>
              <w:t>47</w:t>
            </w:r>
            <w:r w:rsidR="008E4A6F">
              <w:rPr>
                <w:noProof/>
                <w:webHidden/>
              </w:rPr>
              <w:fldChar w:fldCharType="end"/>
            </w:r>
          </w:hyperlink>
        </w:p>
        <w:p w14:paraId="51114161" w14:textId="5CBF3A66"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2" w:history="1">
            <w:r w:rsidR="008E4A6F" w:rsidRPr="00A36430">
              <w:rPr>
                <w:rStyle w:val="Hiperligao"/>
                <w:rFonts w:eastAsiaTheme="majorEastAsia"/>
                <w:noProof/>
                <w:lang w:eastAsia="en-US"/>
              </w:rPr>
              <w:t>3.1.3 Flavonoides</w:t>
            </w:r>
            <w:r w:rsidR="008E4A6F">
              <w:rPr>
                <w:noProof/>
                <w:webHidden/>
              </w:rPr>
              <w:tab/>
            </w:r>
            <w:r w:rsidR="008E4A6F">
              <w:rPr>
                <w:noProof/>
                <w:webHidden/>
              </w:rPr>
              <w:fldChar w:fldCharType="begin"/>
            </w:r>
            <w:r w:rsidR="008E4A6F">
              <w:rPr>
                <w:noProof/>
                <w:webHidden/>
              </w:rPr>
              <w:instrText xml:space="preserve"> PAGEREF _Toc479154872 \h </w:instrText>
            </w:r>
            <w:r w:rsidR="008E4A6F">
              <w:rPr>
                <w:noProof/>
                <w:webHidden/>
              </w:rPr>
            </w:r>
            <w:r w:rsidR="008E4A6F">
              <w:rPr>
                <w:noProof/>
                <w:webHidden/>
              </w:rPr>
              <w:fldChar w:fldCharType="separate"/>
            </w:r>
            <w:r w:rsidR="005F28B4">
              <w:rPr>
                <w:noProof/>
                <w:webHidden/>
              </w:rPr>
              <w:t>48</w:t>
            </w:r>
            <w:r w:rsidR="008E4A6F">
              <w:rPr>
                <w:noProof/>
                <w:webHidden/>
              </w:rPr>
              <w:fldChar w:fldCharType="end"/>
            </w:r>
          </w:hyperlink>
        </w:p>
        <w:p w14:paraId="1E060D31" w14:textId="67056B63"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3" w:history="1">
            <w:r w:rsidR="008E4A6F" w:rsidRPr="00A36430">
              <w:rPr>
                <w:rStyle w:val="Hiperligao"/>
                <w:rFonts w:eastAsiaTheme="minorHAnsi"/>
                <w:noProof/>
                <w:lang w:eastAsia="en-US"/>
              </w:rPr>
              <w:t>3.1.4 Betalaínas</w:t>
            </w:r>
            <w:r w:rsidR="008E4A6F">
              <w:rPr>
                <w:noProof/>
                <w:webHidden/>
              </w:rPr>
              <w:tab/>
            </w:r>
            <w:r w:rsidR="008E4A6F">
              <w:rPr>
                <w:noProof/>
                <w:webHidden/>
              </w:rPr>
              <w:fldChar w:fldCharType="begin"/>
            </w:r>
            <w:r w:rsidR="008E4A6F">
              <w:rPr>
                <w:noProof/>
                <w:webHidden/>
              </w:rPr>
              <w:instrText xml:space="preserve"> PAGEREF _Toc479154873 \h </w:instrText>
            </w:r>
            <w:r w:rsidR="008E4A6F">
              <w:rPr>
                <w:noProof/>
                <w:webHidden/>
              </w:rPr>
            </w:r>
            <w:r w:rsidR="008E4A6F">
              <w:rPr>
                <w:noProof/>
                <w:webHidden/>
              </w:rPr>
              <w:fldChar w:fldCharType="separate"/>
            </w:r>
            <w:r w:rsidR="005F28B4">
              <w:rPr>
                <w:noProof/>
                <w:webHidden/>
              </w:rPr>
              <w:t>50</w:t>
            </w:r>
            <w:r w:rsidR="008E4A6F">
              <w:rPr>
                <w:noProof/>
                <w:webHidden/>
              </w:rPr>
              <w:fldChar w:fldCharType="end"/>
            </w:r>
          </w:hyperlink>
        </w:p>
        <w:p w14:paraId="6934DA4E" w14:textId="4CC134FA"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4" w:history="1">
            <w:r w:rsidR="008E4A6F" w:rsidRPr="00A36430">
              <w:rPr>
                <w:rStyle w:val="Hiperligao"/>
                <w:rFonts w:eastAsiaTheme="majorEastAsia"/>
                <w:noProof/>
              </w:rPr>
              <w:t>3.1.5 Taninos</w:t>
            </w:r>
            <w:r w:rsidR="008E4A6F">
              <w:rPr>
                <w:noProof/>
                <w:webHidden/>
              </w:rPr>
              <w:tab/>
            </w:r>
            <w:r w:rsidR="008E4A6F">
              <w:rPr>
                <w:noProof/>
                <w:webHidden/>
              </w:rPr>
              <w:fldChar w:fldCharType="begin"/>
            </w:r>
            <w:r w:rsidR="008E4A6F">
              <w:rPr>
                <w:noProof/>
                <w:webHidden/>
              </w:rPr>
              <w:instrText xml:space="preserve"> PAGEREF _Toc479154874 \h </w:instrText>
            </w:r>
            <w:r w:rsidR="008E4A6F">
              <w:rPr>
                <w:noProof/>
                <w:webHidden/>
              </w:rPr>
            </w:r>
            <w:r w:rsidR="008E4A6F">
              <w:rPr>
                <w:noProof/>
                <w:webHidden/>
              </w:rPr>
              <w:fldChar w:fldCharType="separate"/>
            </w:r>
            <w:r w:rsidR="005F28B4">
              <w:rPr>
                <w:noProof/>
                <w:webHidden/>
              </w:rPr>
              <w:t>52</w:t>
            </w:r>
            <w:r w:rsidR="008E4A6F">
              <w:rPr>
                <w:noProof/>
                <w:webHidden/>
              </w:rPr>
              <w:fldChar w:fldCharType="end"/>
            </w:r>
          </w:hyperlink>
        </w:p>
        <w:p w14:paraId="2BA7C372" w14:textId="267FF349"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5" w:history="1">
            <w:r w:rsidR="008E4A6F" w:rsidRPr="00A36430">
              <w:rPr>
                <w:rStyle w:val="Hiperligao"/>
                <w:rFonts w:eastAsiaTheme="majorEastAsia"/>
                <w:noProof/>
              </w:rPr>
              <w:t>3.1.6 Ácidos orgânicos</w:t>
            </w:r>
            <w:r w:rsidR="008E4A6F">
              <w:rPr>
                <w:noProof/>
                <w:webHidden/>
              </w:rPr>
              <w:tab/>
            </w:r>
            <w:r w:rsidR="008E4A6F">
              <w:rPr>
                <w:noProof/>
                <w:webHidden/>
              </w:rPr>
              <w:fldChar w:fldCharType="begin"/>
            </w:r>
            <w:r w:rsidR="008E4A6F">
              <w:rPr>
                <w:noProof/>
                <w:webHidden/>
              </w:rPr>
              <w:instrText xml:space="preserve"> PAGEREF _Toc479154875 \h </w:instrText>
            </w:r>
            <w:r w:rsidR="008E4A6F">
              <w:rPr>
                <w:noProof/>
                <w:webHidden/>
              </w:rPr>
            </w:r>
            <w:r w:rsidR="008E4A6F">
              <w:rPr>
                <w:noProof/>
                <w:webHidden/>
              </w:rPr>
              <w:fldChar w:fldCharType="separate"/>
            </w:r>
            <w:r w:rsidR="005F28B4">
              <w:rPr>
                <w:noProof/>
                <w:webHidden/>
              </w:rPr>
              <w:t>54</w:t>
            </w:r>
            <w:r w:rsidR="008E4A6F">
              <w:rPr>
                <w:noProof/>
                <w:webHidden/>
              </w:rPr>
              <w:fldChar w:fldCharType="end"/>
            </w:r>
          </w:hyperlink>
        </w:p>
        <w:p w14:paraId="5E01AF79" w14:textId="75928AE1"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6" w:history="1">
            <w:r w:rsidR="008E4A6F" w:rsidRPr="00A36430">
              <w:rPr>
                <w:rStyle w:val="Hiperligao"/>
                <w:rFonts w:eastAsiaTheme="minorHAnsi"/>
                <w:noProof/>
                <w:lang w:eastAsia="en-US"/>
              </w:rPr>
              <w:t>3.1.7 Açúcares totais</w:t>
            </w:r>
            <w:r w:rsidR="008E4A6F">
              <w:rPr>
                <w:noProof/>
                <w:webHidden/>
              </w:rPr>
              <w:tab/>
            </w:r>
            <w:r w:rsidR="008E4A6F">
              <w:rPr>
                <w:noProof/>
                <w:webHidden/>
              </w:rPr>
              <w:fldChar w:fldCharType="begin"/>
            </w:r>
            <w:r w:rsidR="008E4A6F">
              <w:rPr>
                <w:noProof/>
                <w:webHidden/>
              </w:rPr>
              <w:instrText xml:space="preserve"> PAGEREF _Toc479154876 \h </w:instrText>
            </w:r>
            <w:r w:rsidR="008E4A6F">
              <w:rPr>
                <w:noProof/>
                <w:webHidden/>
              </w:rPr>
            </w:r>
            <w:r w:rsidR="008E4A6F">
              <w:rPr>
                <w:noProof/>
                <w:webHidden/>
              </w:rPr>
              <w:fldChar w:fldCharType="separate"/>
            </w:r>
            <w:r w:rsidR="005F28B4">
              <w:rPr>
                <w:noProof/>
                <w:webHidden/>
              </w:rPr>
              <w:t>55</w:t>
            </w:r>
            <w:r w:rsidR="008E4A6F">
              <w:rPr>
                <w:noProof/>
                <w:webHidden/>
              </w:rPr>
              <w:fldChar w:fldCharType="end"/>
            </w:r>
          </w:hyperlink>
        </w:p>
        <w:p w14:paraId="01B5A49B" w14:textId="5F9A2BDA" w:rsidR="008E4A6F" w:rsidRDefault="00805B44">
          <w:pPr>
            <w:pStyle w:val="ndice3"/>
            <w:tabs>
              <w:tab w:val="right" w:leader="dot" w:pos="8494"/>
            </w:tabs>
            <w:rPr>
              <w:rFonts w:asciiTheme="minorHAnsi" w:eastAsiaTheme="minorEastAsia" w:hAnsiTheme="minorHAnsi" w:cstheme="minorBidi"/>
              <w:noProof/>
              <w:color w:val="auto"/>
              <w:sz w:val="22"/>
            </w:rPr>
          </w:pPr>
          <w:hyperlink w:anchor="_Toc479154877" w:history="1">
            <w:r w:rsidR="008E4A6F" w:rsidRPr="00A36430">
              <w:rPr>
                <w:rStyle w:val="Hiperligao"/>
                <w:rFonts w:eastAsiaTheme="majorEastAsia"/>
                <w:noProof/>
                <w:lang w:eastAsia="en-US"/>
              </w:rPr>
              <w:t>3.1.8 Teor de fibra</w:t>
            </w:r>
            <w:r w:rsidR="008E4A6F">
              <w:rPr>
                <w:noProof/>
                <w:webHidden/>
              </w:rPr>
              <w:tab/>
            </w:r>
            <w:r w:rsidR="008E4A6F">
              <w:rPr>
                <w:noProof/>
                <w:webHidden/>
              </w:rPr>
              <w:fldChar w:fldCharType="begin"/>
            </w:r>
            <w:r w:rsidR="008E4A6F">
              <w:rPr>
                <w:noProof/>
                <w:webHidden/>
              </w:rPr>
              <w:instrText xml:space="preserve"> PAGEREF _Toc479154877 \h </w:instrText>
            </w:r>
            <w:r w:rsidR="008E4A6F">
              <w:rPr>
                <w:noProof/>
                <w:webHidden/>
              </w:rPr>
            </w:r>
            <w:r w:rsidR="008E4A6F">
              <w:rPr>
                <w:noProof/>
                <w:webHidden/>
              </w:rPr>
              <w:fldChar w:fldCharType="separate"/>
            </w:r>
            <w:r w:rsidR="005F28B4">
              <w:rPr>
                <w:noProof/>
                <w:webHidden/>
              </w:rPr>
              <w:t>57</w:t>
            </w:r>
            <w:r w:rsidR="008E4A6F">
              <w:rPr>
                <w:noProof/>
                <w:webHidden/>
              </w:rPr>
              <w:fldChar w:fldCharType="end"/>
            </w:r>
          </w:hyperlink>
        </w:p>
        <w:p w14:paraId="30787426" w14:textId="35004958"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78" w:history="1">
            <w:r w:rsidR="008E4A6F" w:rsidRPr="00A36430">
              <w:rPr>
                <w:rStyle w:val="Hiperligao"/>
                <w:rFonts w:eastAsiaTheme="majorEastAsia"/>
                <w:noProof/>
                <w:lang w:eastAsia="en-US"/>
              </w:rPr>
              <w:t>4. Conclusão</w:t>
            </w:r>
            <w:r w:rsidR="008E4A6F">
              <w:rPr>
                <w:noProof/>
                <w:webHidden/>
              </w:rPr>
              <w:tab/>
            </w:r>
            <w:r w:rsidR="008E4A6F">
              <w:rPr>
                <w:noProof/>
                <w:webHidden/>
              </w:rPr>
              <w:fldChar w:fldCharType="begin"/>
            </w:r>
            <w:r w:rsidR="008E4A6F">
              <w:rPr>
                <w:noProof/>
                <w:webHidden/>
              </w:rPr>
              <w:instrText xml:space="preserve"> PAGEREF _Toc479154878 \h </w:instrText>
            </w:r>
            <w:r w:rsidR="008E4A6F">
              <w:rPr>
                <w:noProof/>
                <w:webHidden/>
              </w:rPr>
            </w:r>
            <w:r w:rsidR="008E4A6F">
              <w:rPr>
                <w:noProof/>
                <w:webHidden/>
              </w:rPr>
              <w:fldChar w:fldCharType="separate"/>
            </w:r>
            <w:r w:rsidR="005F28B4">
              <w:rPr>
                <w:noProof/>
                <w:webHidden/>
              </w:rPr>
              <w:t>59</w:t>
            </w:r>
            <w:r w:rsidR="008E4A6F">
              <w:rPr>
                <w:noProof/>
                <w:webHidden/>
              </w:rPr>
              <w:fldChar w:fldCharType="end"/>
            </w:r>
          </w:hyperlink>
        </w:p>
        <w:p w14:paraId="180CA53C" w14:textId="1B5D49A4"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79" w:history="1">
            <w:r w:rsidR="008E4A6F" w:rsidRPr="00A36430">
              <w:rPr>
                <w:rStyle w:val="Hiperligao"/>
                <w:rFonts w:eastAsiaTheme="majorEastAsia"/>
                <w:noProof/>
                <w:lang w:eastAsia="en-US"/>
              </w:rPr>
              <w:t>5. Perspetivas futuras</w:t>
            </w:r>
            <w:r w:rsidR="008E4A6F">
              <w:rPr>
                <w:noProof/>
                <w:webHidden/>
              </w:rPr>
              <w:tab/>
            </w:r>
            <w:r w:rsidR="008E4A6F">
              <w:rPr>
                <w:noProof/>
                <w:webHidden/>
              </w:rPr>
              <w:fldChar w:fldCharType="begin"/>
            </w:r>
            <w:r w:rsidR="008E4A6F">
              <w:rPr>
                <w:noProof/>
                <w:webHidden/>
              </w:rPr>
              <w:instrText xml:space="preserve"> PAGEREF _Toc479154879 \h </w:instrText>
            </w:r>
            <w:r w:rsidR="008E4A6F">
              <w:rPr>
                <w:noProof/>
                <w:webHidden/>
              </w:rPr>
            </w:r>
            <w:r w:rsidR="008E4A6F">
              <w:rPr>
                <w:noProof/>
                <w:webHidden/>
              </w:rPr>
              <w:fldChar w:fldCharType="separate"/>
            </w:r>
            <w:r w:rsidR="005F28B4">
              <w:rPr>
                <w:noProof/>
                <w:webHidden/>
              </w:rPr>
              <w:t>61</w:t>
            </w:r>
            <w:r w:rsidR="008E4A6F">
              <w:rPr>
                <w:noProof/>
                <w:webHidden/>
              </w:rPr>
              <w:fldChar w:fldCharType="end"/>
            </w:r>
          </w:hyperlink>
        </w:p>
        <w:p w14:paraId="382BA798" w14:textId="540492B6"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80" w:history="1">
            <w:r w:rsidR="008E4A6F" w:rsidRPr="00A36430">
              <w:rPr>
                <w:rStyle w:val="Hiperligao"/>
                <w:rFonts w:eastAsiaTheme="majorEastAsia"/>
                <w:noProof/>
                <w:lang w:eastAsia="en-US"/>
              </w:rPr>
              <w:t>6. Referências bibliográficas</w:t>
            </w:r>
            <w:r w:rsidR="008E4A6F">
              <w:rPr>
                <w:noProof/>
                <w:webHidden/>
              </w:rPr>
              <w:tab/>
            </w:r>
            <w:r w:rsidR="008E4A6F">
              <w:rPr>
                <w:noProof/>
                <w:webHidden/>
              </w:rPr>
              <w:fldChar w:fldCharType="begin"/>
            </w:r>
            <w:r w:rsidR="008E4A6F">
              <w:rPr>
                <w:noProof/>
                <w:webHidden/>
              </w:rPr>
              <w:instrText xml:space="preserve"> PAGEREF _Toc479154880 \h </w:instrText>
            </w:r>
            <w:r w:rsidR="008E4A6F">
              <w:rPr>
                <w:noProof/>
                <w:webHidden/>
              </w:rPr>
            </w:r>
            <w:r w:rsidR="008E4A6F">
              <w:rPr>
                <w:noProof/>
                <w:webHidden/>
              </w:rPr>
              <w:fldChar w:fldCharType="separate"/>
            </w:r>
            <w:r w:rsidR="005F28B4">
              <w:rPr>
                <w:noProof/>
                <w:webHidden/>
              </w:rPr>
              <w:t>62</w:t>
            </w:r>
            <w:r w:rsidR="008E4A6F">
              <w:rPr>
                <w:noProof/>
                <w:webHidden/>
              </w:rPr>
              <w:fldChar w:fldCharType="end"/>
            </w:r>
          </w:hyperlink>
        </w:p>
        <w:p w14:paraId="7DC93FEA" w14:textId="34B0B74E" w:rsidR="008E4A6F" w:rsidRDefault="00805B44">
          <w:pPr>
            <w:pStyle w:val="ndice1"/>
            <w:tabs>
              <w:tab w:val="right" w:leader="dot" w:pos="8494"/>
            </w:tabs>
            <w:rPr>
              <w:rFonts w:asciiTheme="minorHAnsi" w:eastAsiaTheme="minorEastAsia" w:hAnsiTheme="minorHAnsi" w:cstheme="minorBidi"/>
              <w:noProof/>
              <w:color w:val="auto"/>
              <w:sz w:val="22"/>
            </w:rPr>
          </w:pPr>
          <w:hyperlink w:anchor="_Toc479154881" w:history="1">
            <w:r w:rsidR="008E4A6F" w:rsidRPr="00A36430">
              <w:rPr>
                <w:rStyle w:val="Hiperligao"/>
                <w:rFonts w:eastAsiaTheme="minorHAnsi" w:cstheme="majorBidi"/>
                <w:noProof/>
                <w:spacing w:val="-10"/>
                <w:kern w:val="28"/>
                <w:lang w:eastAsia="en-US"/>
              </w:rPr>
              <w:t>7. Anexos</w:t>
            </w:r>
            <w:r w:rsidR="008E4A6F">
              <w:rPr>
                <w:noProof/>
                <w:webHidden/>
              </w:rPr>
              <w:tab/>
            </w:r>
            <w:r w:rsidR="008E4A6F">
              <w:rPr>
                <w:noProof/>
                <w:webHidden/>
              </w:rPr>
              <w:fldChar w:fldCharType="begin"/>
            </w:r>
            <w:r w:rsidR="008E4A6F">
              <w:rPr>
                <w:noProof/>
                <w:webHidden/>
              </w:rPr>
              <w:instrText xml:space="preserve"> PAGEREF _Toc479154881 \h </w:instrText>
            </w:r>
            <w:r w:rsidR="008E4A6F">
              <w:rPr>
                <w:noProof/>
                <w:webHidden/>
              </w:rPr>
            </w:r>
            <w:r w:rsidR="008E4A6F">
              <w:rPr>
                <w:noProof/>
                <w:webHidden/>
              </w:rPr>
              <w:fldChar w:fldCharType="separate"/>
            </w:r>
            <w:r w:rsidR="005F28B4">
              <w:rPr>
                <w:noProof/>
                <w:webHidden/>
              </w:rPr>
              <w:t>74</w:t>
            </w:r>
            <w:r w:rsidR="008E4A6F">
              <w:rPr>
                <w:noProof/>
                <w:webHidden/>
              </w:rPr>
              <w:fldChar w:fldCharType="end"/>
            </w:r>
          </w:hyperlink>
        </w:p>
        <w:p w14:paraId="00EFF406" w14:textId="3DAEA6D9" w:rsidR="00E40C00" w:rsidRDefault="00793253" w:rsidP="00E40C00">
          <w:pPr>
            <w:rPr>
              <w:b/>
              <w:bCs/>
            </w:rPr>
          </w:pPr>
          <w:r>
            <w:fldChar w:fldCharType="end"/>
          </w:r>
        </w:p>
      </w:sdtContent>
    </w:sdt>
    <w:p w14:paraId="107145E7" w14:textId="77777777" w:rsidR="006C2067" w:rsidRDefault="006C2067" w:rsidP="00E40C00">
      <w:pPr>
        <w:rPr>
          <w:sz w:val="32"/>
        </w:rPr>
      </w:pPr>
    </w:p>
    <w:p w14:paraId="6493597A" w14:textId="77777777" w:rsidR="006C2067" w:rsidRDefault="006C2067" w:rsidP="00E40C00">
      <w:pPr>
        <w:rPr>
          <w:sz w:val="32"/>
        </w:rPr>
      </w:pPr>
    </w:p>
    <w:p w14:paraId="03DC8942" w14:textId="77777777" w:rsidR="006C2067" w:rsidRDefault="006C2067" w:rsidP="00E40C00">
      <w:pPr>
        <w:rPr>
          <w:sz w:val="32"/>
        </w:rPr>
      </w:pPr>
    </w:p>
    <w:p w14:paraId="3E8A625F" w14:textId="77777777" w:rsidR="006C2067" w:rsidRDefault="006C2067" w:rsidP="00E40C00">
      <w:pPr>
        <w:rPr>
          <w:sz w:val="32"/>
        </w:rPr>
      </w:pPr>
    </w:p>
    <w:p w14:paraId="5DECB598" w14:textId="77777777" w:rsidR="006C2067" w:rsidRDefault="006C2067" w:rsidP="00E40C00">
      <w:pPr>
        <w:rPr>
          <w:sz w:val="32"/>
        </w:rPr>
      </w:pPr>
    </w:p>
    <w:p w14:paraId="5CFF7550" w14:textId="77777777" w:rsidR="006C2067" w:rsidRDefault="006C2067" w:rsidP="00E40C00">
      <w:pPr>
        <w:rPr>
          <w:sz w:val="32"/>
        </w:rPr>
      </w:pPr>
    </w:p>
    <w:p w14:paraId="4F4469E2" w14:textId="77777777" w:rsidR="006C2067" w:rsidRDefault="006C2067" w:rsidP="00E40C00">
      <w:pPr>
        <w:rPr>
          <w:sz w:val="32"/>
        </w:rPr>
      </w:pPr>
    </w:p>
    <w:p w14:paraId="0E9EEB8E" w14:textId="77777777" w:rsidR="006C2067" w:rsidRDefault="006C2067" w:rsidP="00E40C00">
      <w:pPr>
        <w:rPr>
          <w:sz w:val="32"/>
        </w:rPr>
      </w:pPr>
    </w:p>
    <w:p w14:paraId="01BF6202" w14:textId="77777777" w:rsidR="006C2067" w:rsidRDefault="006C2067" w:rsidP="00E40C00">
      <w:pPr>
        <w:rPr>
          <w:sz w:val="32"/>
        </w:rPr>
      </w:pPr>
    </w:p>
    <w:p w14:paraId="261F9BC7" w14:textId="77777777" w:rsidR="006C2067" w:rsidRDefault="006C2067" w:rsidP="00E40C00">
      <w:pPr>
        <w:rPr>
          <w:sz w:val="32"/>
        </w:rPr>
      </w:pPr>
    </w:p>
    <w:p w14:paraId="25A7EBDA" w14:textId="77777777" w:rsidR="006C2067" w:rsidRDefault="006C2067" w:rsidP="00E40C00">
      <w:pPr>
        <w:rPr>
          <w:sz w:val="32"/>
        </w:rPr>
      </w:pPr>
    </w:p>
    <w:p w14:paraId="360FCA69" w14:textId="77777777" w:rsidR="006C2067" w:rsidRDefault="006C2067" w:rsidP="00E40C00">
      <w:pPr>
        <w:rPr>
          <w:sz w:val="32"/>
        </w:rPr>
      </w:pPr>
    </w:p>
    <w:p w14:paraId="16D4EB2C" w14:textId="77777777" w:rsidR="006C2067" w:rsidRDefault="006C2067" w:rsidP="00E40C00">
      <w:pPr>
        <w:rPr>
          <w:sz w:val="32"/>
        </w:rPr>
      </w:pPr>
    </w:p>
    <w:p w14:paraId="014EC656" w14:textId="77777777" w:rsidR="006C2067" w:rsidRDefault="006C2067" w:rsidP="00E40C00">
      <w:pPr>
        <w:rPr>
          <w:sz w:val="32"/>
        </w:rPr>
      </w:pPr>
    </w:p>
    <w:p w14:paraId="461B926E" w14:textId="77777777" w:rsidR="006C2067" w:rsidRDefault="006C2067" w:rsidP="00E40C00">
      <w:pPr>
        <w:rPr>
          <w:sz w:val="32"/>
        </w:rPr>
      </w:pPr>
    </w:p>
    <w:p w14:paraId="0AE5952F" w14:textId="314E287F" w:rsidR="009A72E6" w:rsidRDefault="009A72E6" w:rsidP="009A72E6">
      <w:pPr>
        <w:ind w:left="0" w:firstLine="0"/>
        <w:rPr>
          <w:sz w:val="32"/>
        </w:rPr>
      </w:pPr>
    </w:p>
    <w:p w14:paraId="231B98C8" w14:textId="1F9DFC52" w:rsidR="00743AB9" w:rsidRPr="00E40C00" w:rsidRDefault="00743AB9" w:rsidP="00E40C00">
      <w:r w:rsidRPr="00793253">
        <w:rPr>
          <w:sz w:val="32"/>
        </w:rPr>
        <w:lastRenderedPageBreak/>
        <w:t>Índice das figuras</w:t>
      </w:r>
    </w:p>
    <w:p w14:paraId="09304DFC" w14:textId="4CD1CF4B" w:rsidR="009A72E6" w:rsidRDefault="009A72E6">
      <w:pPr>
        <w:pStyle w:val="ndicedeilustraes"/>
        <w:tabs>
          <w:tab w:val="right" w:leader="dot" w:pos="8494"/>
        </w:tabs>
        <w:rPr>
          <w:rFonts w:asciiTheme="minorHAnsi" w:eastAsiaTheme="minorEastAsia" w:hAnsiTheme="minorHAnsi" w:cstheme="minorBidi"/>
          <w:noProof/>
          <w:color w:val="auto"/>
          <w:sz w:val="22"/>
        </w:rPr>
      </w:pPr>
      <w:r>
        <w:fldChar w:fldCharType="begin"/>
      </w:r>
      <w:r>
        <w:instrText xml:space="preserve"> TOC \h \z \c "Figura" </w:instrText>
      </w:r>
      <w:r>
        <w:fldChar w:fldCharType="separate"/>
      </w:r>
      <w:hyperlink w:anchor="_Toc479333876" w:history="1">
        <w:r w:rsidRPr="007E4EBF">
          <w:rPr>
            <w:rStyle w:val="Hiperligao"/>
            <w:noProof/>
          </w:rPr>
          <w:t>Figura 1 - figo-da índia</w:t>
        </w:r>
        <w:r>
          <w:rPr>
            <w:noProof/>
            <w:webHidden/>
          </w:rPr>
          <w:tab/>
        </w:r>
        <w:r>
          <w:rPr>
            <w:noProof/>
            <w:webHidden/>
          </w:rPr>
          <w:fldChar w:fldCharType="begin"/>
        </w:r>
        <w:r>
          <w:rPr>
            <w:noProof/>
            <w:webHidden/>
          </w:rPr>
          <w:instrText xml:space="preserve"> PAGEREF _Toc479333876 \h </w:instrText>
        </w:r>
        <w:r>
          <w:rPr>
            <w:noProof/>
            <w:webHidden/>
          </w:rPr>
        </w:r>
        <w:r>
          <w:rPr>
            <w:noProof/>
            <w:webHidden/>
          </w:rPr>
          <w:fldChar w:fldCharType="separate"/>
        </w:r>
        <w:r w:rsidR="005F28B4">
          <w:rPr>
            <w:noProof/>
            <w:webHidden/>
          </w:rPr>
          <w:t>2</w:t>
        </w:r>
        <w:r>
          <w:rPr>
            <w:noProof/>
            <w:webHidden/>
          </w:rPr>
          <w:fldChar w:fldCharType="end"/>
        </w:r>
      </w:hyperlink>
    </w:p>
    <w:p w14:paraId="1D2C836E" w14:textId="2EFC91D4"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77" w:history="1">
        <w:r w:rsidR="009A72E6" w:rsidRPr="007E4EBF">
          <w:rPr>
            <w:rStyle w:val="Hiperligao"/>
            <w:noProof/>
          </w:rPr>
          <w:t>Figura 2 - Distribuição geográfica na Europa</w:t>
        </w:r>
        <w:r w:rsidR="009A72E6">
          <w:rPr>
            <w:rStyle w:val="Hiperligao"/>
            <w:noProof/>
          </w:rPr>
          <w:t xml:space="preserve"> (Vilà, 2006)</w:t>
        </w:r>
        <w:r w:rsidR="009A72E6">
          <w:rPr>
            <w:noProof/>
            <w:webHidden/>
          </w:rPr>
          <w:tab/>
        </w:r>
        <w:r w:rsidR="009A72E6">
          <w:rPr>
            <w:noProof/>
            <w:webHidden/>
          </w:rPr>
          <w:fldChar w:fldCharType="begin"/>
        </w:r>
        <w:r w:rsidR="009A72E6">
          <w:rPr>
            <w:noProof/>
            <w:webHidden/>
          </w:rPr>
          <w:instrText xml:space="preserve"> PAGEREF _Toc479333877 \h </w:instrText>
        </w:r>
        <w:r w:rsidR="009A72E6">
          <w:rPr>
            <w:noProof/>
            <w:webHidden/>
          </w:rPr>
        </w:r>
        <w:r w:rsidR="009A72E6">
          <w:rPr>
            <w:noProof/>
            <w:webHidden/>
          </w:rPr>
          <w:fldChar w:fldCharType="separate"/>
        </w:r>
        <w:r w:rsidR="005F28B4">
          <w:rPr>
            <w:noProof/>
            <w:webHidden/>
          </w:rPr>
          <w:t>3</w:t>
        </w:r>
        <w:r w:rsidR="009A72E6">
          <w:rPr>
            <w:noProof/>
            <w:webHidden/>
          </w:rPr>
          <w:fldChar w:fldCharType="end"/>
        </w:r>
      </w:hyperlink>
    </w:p>
    <w:p w14:paraId="4FBAE65B" w14:textId="214963BA"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78" w:history="1">
        <w:r w:rsidR="009A72E6" w:rsidRPr="007E4EBF">
          <w:rPr>
            <w:rStyle w:val="Hiperligao"/>
            <w:noProof/>
          </w:rPr>
          <w:t>Figura 3 – Estrutura química das betalaínas (Mullenweg, 2013)</w:t>
        </w:r>
        <w:r w:rsidR="009A72E6">
          <w:rPr>
            <w:noProof/>
            <w:webHidden/>
          </w:rPr>
          <w:tab/>
        </w:r>
        <w:r w:rsidR="009A72E6">
          <w:rPr>
            <w:noProof/>
            <w:webHidden/>
          </w:rPr>
          <w:fldChar w:fldCharType="begin"/>
        </w:r>
        <w:r w:rsidR="009A72E6">
          <w:rPr>
            <w:noProof/>
            <w:webHidden/>
          </w:rPr>
          <w:instrText xml:space="preserve"> PAGEREF _Toc479333878 \h </w:instrText>
        </w:r>
        <w:r w:rsidR="009A72E6">
          <w:rPr>
            <w:noProof/>
            <w:webHidden/>
          </w:rPr>
        </w:r>
        <w:r w:rsidR="009A72E6">
          <w:rPr>
            <w:noProof/>
            <w:webHidden/>
          </w:rPr>
          <w:fldChar w:fldCharType="separate"/>
        </w:r>
        <w:r w:rsidR="005F28B4">
          <w:rPr>
            <w:noProof/>
            <w:webHidden/>
          </w:rPr>
          <w:t>14</w:t>
        </w:r>
        <w:r w:rsidR="009A72E6">
          <w:rPr>
            <w:noProof/>
            <w:webHidden/>
          </w:rPr>
          <w:fldChar w:fldCharType="end"/>
        </w:r>
      </w:hyperlink>
    </w:p>
    <w:p w14:paraId="50241144" w14:textId="30FCAA5D"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79" w:history="1">
        <w:r w:rsidR="009A72E6" w:rsidRPr="007E4EBF">
          <w:rPr>
            <w:rStyle w:val="Hiperligao"/>
            <w:noProof/>
          </w:rPr>
          <w:t xml:space="preserve">Figura 4- </w:t>
        </w:r>
        <w:r w:rsidR="009A72E6" w:rsidRPr="007E4EBF">
          <w:rPr>
            <w:rStyle w:val="Hiperligao"/>
            <w:rFonts w:eastAsia="Calibri"/>
            <w:noProof/>
            <w:lang w:eastAsia="en-US"/>
          </w:rPr>
          <w:t>Reta padrão para determinação dos fenóis totais</w:t>
        </w:r>
        <w:r w:rsidR="009A72E6">
          <w:rPr>
            <w:noProof/>
            <w:webHidden/>
          </w:rPr>
          <w:tab/>
        </w:r>
        <w:r w:rsidR="009A72E6">
          <w:rPr>
            <w:noProof/>
            <w:webHidden/>
          </w:rPr>
          <w:fldChar w:fldCharType="begin"/>
        </w:r>
        <w:r w:rsidR="009A72E6">
          <w:rPr>
            <w:noProof/>
            <w:webHidden/>
          </w:rPr>
          <w:instrText xml:space="preserve"> PAGEREF _Toc479333879 \h </w:instrText>
        </w:r>
        <w:r w:rsidR="009A72E6">
          <w:rPr>
            <w:noProof/>
            <w:webHidden/>
          </w:rPr>
        </w:r>
        <w:r w:rsidR="009A72E6">
          <w:rPr>
            <w:noProof/>
            <w:webHidden/>
          </w:rPr>
          <w:fldChar w:fldCharType="separate"/>
        </w:r>
        <w:r w:rsidR="005F28B4">
          <w:rPr>
            <w:noProof/>
            <w:webHidden/>
          </w:rPr>
          <w:t>22</w:t>
        </w:r>
        <w:r w:rsidR="009A72E6">
          <w:rPr>
            <w:noProof/>
            <w:webHidden/>
          </w:rPr>
          <w:fldChar w:fldCharType="end"/>
        </w:r>
      </w:hyperlink>
    </w:p>
    <w:p w14:paraId="12B7403D" w14:textId="403251FC"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0" w:history="1">
        <w:r w:rsidR="009A72E6" w:rsidRPr="007E4EBF">
          <w:rPr>
            <w:rStyle w:val="Hiperligao"/>
            <w:noProof/>
          </w:rPr>
          <w:t>Figura 5 - Reta padrão para determinação do TEAC</w:t>
        </w:r>
        <w:r w:rsidR="009A72E6">
          <w:rPr>
            <w:noProof/>
            <w:webHidden/>
          </w:rPr>
          <w:tab/>
        </w:r>
        <w:r w:rsidR="009A72E6">
          <w:rPr>
            <w:noProof/>
            <w:webHidden/>
          </w:rPr>
          <w:fldChar w:fldCharType="begin"/>
        </w:r>
        <w:r w:rsidR="009A72E6">
          <w:rPr>
            <w:noProof/>
            <w:webHidden/>
          </w:rPr>
          <w:instrText xml:space="preserve"> PAGEREF _Toc479333880 \h </w:instrText>
        </w:r>
        <w:r w:rsidR="009A72E6">
          <w:rPr>
            <w:noProof/>
            <w:webHidden/>
          </w:rPr>
        </w:r>
        <w:r w:rsidR="009A72E6">
          <w:rPr>
            <w:noProof/>
            <w:webHidden/>
          </w:rPr>
          <w:fldChar w:fldCharType="separate"/>
        </w:r>
        <w:r w:rsidR="005F28B4">
          <w:rPr>
            <w:noProof/>
            <w:webHidden/>
          </w:rPr>
          <w:t>24</w:t>
        </w:r>
        <w:r w:rsidR="009A72E6">
          <w:rPr>
            <w:noProof/>
            <w:webHidden/>
          </w:rPr>
          <w:fldChar w:fldCharType="end"/>
        </w:r>
      </w:hyperlink>
    </w:p>
    <w:p w14:paraId="1B28122B" w14:textId="79720849"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1" w:history="1">
        <w:r w:rsidR="009A72E6" w:rsidRPr="007E4EBF">
          <w:rPr>
            <w:rStyle w:val="Hiperligao"/>
            <w:noProof/>
          </w:rPr>
          <w:t>Figura 6</w:t>
        </w:r>
        <w:r w:rsidR="009A72E6" w:rsidRPr="007E4EBF">
          <w:rPr>
            <w:rStyle w:val="Hiperligao"/>
            <w:rFonts w:eastAsia="Calibri"/>
            <w:noProof/>
            <w:lang w:eastAsia="en-US"/>
          </w:rPr>
          <w:t xml:space="preserve"> – Reta padrão para determinação do DPPH</w:t>
        </w:r>
        <w:r w:rsidR="009A72E6">
          <w:rPr>
            <w:noProof/>
            <w:webHidden/>
          </w:rPr>
          <w:tab/>
        </w:r>
        <w:r w:rsidR="009A72E6">
          <w:rPr>
            <w:noProof/>
            <w:webHidden/>
          </w:rPr>
          <w:fldChar w:fldCharType="begin"/>
        </w:r>
        <w:r w:rsidR="009A72E6">
          <w:rPr>
            <w:noProof/>
            <w:webHidden/>
          </w:rPr>
          <w:instrText xml:space="preserve"> PAGEREF _Toc479333881 \h </w:instrText>
        </w:r>
        <w:r w:rsidR="009A72E6">
          <w:rPr>
            <w:noProof/>
            <w:webHidden/>
          </w:rPr>
        </w:r>
        <w:r w:rsidR="009A72E6">
          <w:rPr>
            <w:noProof/>
            <w:webHidden/>
          </w:rPr>
          <w:fldChar w:fldCharType="separate"/>
        </w:r>
        <w:r w:rsidR="005F28B4">
          <w:rPr>
            <w:noProof/>
            <w:webHidden/>
          </w:rPr>
          <w:t>25</w:t>
        </w:r>
        <w:r w:rsidR="009A72E6">
          <w:rPr>
            <w:noProof/>
            <w:webHidden/>
          </w:rPr>
          <w:fldChar w:fldCharType="end"/>
        </w:r>
      </w:hyperlink>
    </w:p>
    <w:p w14:paraId="6B4DC353" w14:textId="7FBD8779"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2" w:history="1">
        <w:r w:rsidR="009A72E6" w:rsidRPr="007E4EBF">
          <w:rPr>
            <w:rStyle w:val="Hiperligao"/>
            <w:noProof/>
          </w:rPr>
          <w:t xml:space="preserve">Figura 7 </w:t>
        </w:r>
        <w:r w:rsidR="009A72E6" w:rsidRPr="007E4EBF">
          <w:rPr>
            <w:rStyle w:val="Hiperligao"/>
            <w:rFonts w:eastAsia="Calibri"/>
            <w:noProof/>
            <w:lang w:eastAsia="en-US"/>
          </w:rPr>
          <w:t xml:space="preserve"> -Reta padrão para determinação dos flavonoides</w:t>
        </w:r>
        <w:r w:rsidR="009A72E6">
          <w:rPr>
            <w:noProof/>
            <w:webHidden/>
          </w:rPr>
          <w:tab/>
        </w:r>
        <w:r w:rsidR="009A72E6">
          <w:rPr>
            <w:noProof/>
            <w:webHidden/>
          </w:rPr>
          <w:fldChar w:fldCharType="begin"/>
        </w:r>
        <w:r w:rsidR="009A72E6">
          <w:rPr>
            <w:noProof/>
            <w:webHidden/>
          </w:rPr>
          <w:instrText xml:space="preserve"> PAGEREF _Toc479333882 \h </w:instrText>
        </w:r>
        <w:r w:rsidR="009A72E6">
          <w:rPr>
            <w:noProof/>
            <w:webHidden/>
          </w:rPr>
        </w:r>
        <w:r w:rsidR="009A72E6">
          <w:rPr>
            <w:noProof/>
            <w:webHidden/>
          </w:rPr>
          <w:fldChar w:fldCharType="separate"/>
        </w:r>
        <w:r w:rsidR="005F28B4">
          <w:rPr>
            <w:noProof/>
            <w:webHidden/>
          </w:rPr>
          <w:t>26</w:t>
        </w:r>
        <w:r w:rsidR="009A72E6">
          <w:rPr>
            <w:noProof/>
            <w:webHidden/>
          </w:rPr>
          <w:fldChar w:fldCharType="end"/>
        </w:r>
      </w:hyperlink>
    </w:p>
    <w:p w14:paraId="214B40D7" w14:textId="082455FC"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3" w:history="1">
        <w:r w:rsidR="009A72E6" w:rsidRPr="007E4EBF">
          <w:rPr>
            <w:rStyle w:val="Hiperligao"/>
            <w:noProof/>
          </w:rPr>
          <w:t xml:space="preserve">Figura 8 - </w:t>
        </w:r>
        <w:r w:rsidR="009A72E6" w:rsidRPr="007E4EBF">
          <w:rPr>
            <w:rStyle w:val="Hiperligao"/>
            <w:rFonts w:eastAsia="Calibri"/>
            <w:noProof/>
            <w:lang w:eastAsia="en-US"/>
          </w:rPr>
          <w:t>Reta padrão para determinação dos taninos</w:t>
        </w:r>
        <w:r w:rsidR="009A72E6">
          <w:rPr>
            <w:noProof/>
            <w:webHidden/>
          </w:rPr>
          <w:tab/>
        </w:r>
        <w:r w:rsidR="009A72E6">
          <w:rPr>
            <w:noProof/>
            <w:webHidden/>
          </w:rPr>
          <w:fldChar w:fldCharType="begin"/>
        </w:r>
        <w:r w:rsidR="009A72E6">
          <w:rPr>
            <w:noProof/>
            <w:webHidden/>
          </w:rPr>
          <w:instrText xml:space="preserve"> PAGEREF _Toc479333883 \h </w:instrText>
        </w:r>
        <w:r w:rsidR="009A72E6">
          <w:rPr>
            <w:noProof/>
            <w:webHidden/>
          </w:rPr>
        </w:r>
        <w:r w:rsidR="009A72E6">
          <w:rPr>
            <w:noProof/>
            <w:webHidden/>
          </w:rPr>
          <w:fldChar w:fldCharType="separate"/>
        </w:r>
        <w:r w:rsidR="005F28B4">
          <w:rPr>
            <w:noProof/>
            <w:webHidden/>
          </w:rPr>
          <w:t>28</w:t>
        </w:r>
        <w:r w:rsidR="009A72E6">
          <w:rPr>
            <w:noProof/>
            <w:webHidden/>
          </w:rPr>
          <w:fldChar w:fldCharType="end"/>
        </w:r>
      </w:hyperlink>
    </w:p>
    <w:p w14:paraId="5F032AFB" w14:textId="1C2F5189"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4" w:history="1">
        <w:r w:rsidR="009A72E6" w:rsidRPr="007E4EBF">
          <w:rPr>
            <w:rStyle w:val="Hiperligao"/>
            <w:noProof/>
          </w:rPr>
          <w:t>Figura 9-</w:t>
        </w:r>
        <w:r w:rsidR="009A72E6" w:rsidRPr="007E4EBF">
          <w:rPr>
            <w:rStyle w:val="Hiperligao"/>
            <w:rFonts w:eastAsiaTheme="minorHAnsi"/>
            <w:noProof/>
            <w:lang w:eastAsia="en-US"/>
          </w:rPr>
          <w:t xml:space="preserve"> Diâmetro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_Toc479333884 \h </w:instrText>
        </w:r>
        <w:r w:rsidR="009A72E6">
          <w:rPr>
            <w:noProof/>
            <w:webHidden/>
          </w:rPr>
        </w:r>
        <w:r w:rsidR="009A72E6">
          <w:rPr>
            <w:noProof/>
            <w:webHidden/>
          </w:rPr>
          <w:fldChar w:fldCharType="separate"/>
        </w:r>
        <w:r w:rsidR="005F28B4">
          <w:rPr>
            <w:noProof/>
            <w:webHidden/>
          </w:rPr>
          <w:t>33</w:t>
        </w:r>
        <w:r w:rsidR="009A72E6">
          <w:rPr>
            <w:noProof/>
            <w:webHidden/>
          </w:rPr>
          <w:fldChar w:fldCharType="end"/>
        </w:r>
      </w:hyperlink>
    </w:p>
    <w:p w14:paraId="1794C5D7" w14:textId="661770F3"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5" w:history="1">
        <w:r w:rsidR="009A72E6" w:rsidRPr="007E4EBF">
          <w:rPr>
            <w:rStyle w:val="Hiperligao"/>
            <w:noProof/>
          </w:rPr>
          <w:t>Figura 10</w:t>
        </w:r>
        <w:r w:rsidR="009A72E6" w:rsidRPr="007E4EBF">
          <w:rPr>
            <w:rStyle w:val="Hiperligao"/>
            <w:rFonts w:eastAsiaTheme="minorHAnsi"/>
            <w:noProof/>
            <w:lang w:eastAsia="en-US"/>
          </w:rPr>
          <w:t xml:space="preserve"> – Comprimento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_Toc479333885 \h </w:instrText>
        </w:r>
        <w:r w:rsidR="009A72E6">
          <w:rPr>
            <w:noProof/>
            <w:webHidden/>
          </w:rPr>
        </w:r>
        <w:r w:rsidR="009A72E6">
          <w:rPr>
            <w:noProof/>
            <w:webHidden/>
          </w:rPr>
          <w:fldChar w:fldCharType="separate"/>
        </w:r>
        <w:r w:rsidR="005F28B4">
          <w:rPr>
            <w:noProof/>
            <w:webHidden/>
          </w:rPr>
          <w:t>34</w:t>
        </w:r>
        <w:r w:rsidR="009A72E6">
          <w:rPr>
            <w:noProof/>
            <w:webHidden/>
          </w:rPr>
          <w:fldChar w:fldCharType="end"/>
        </w:r>
      </w:hyperlink>
    </w:p>
    <w:p w14:paraId="417676BD" w14:textId="5647C4FA"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6" w:history="1">
        <w:r w:rsidR="009A72E6" w:rsidRPr="007E4EBF">
          <w:rPr>
            <w:rStyle w:val="Hiperligao"/>
            <w:noProof/>
          </w:rPr>
          <w:t>Figura 11</w:t>
        </w:r>
        <w:r w:rsidR="009A72E6" w:rsidRPr="007E4EBF">
          <w:rPr>
            <w:rStyle w:val="Hiperligao"/>
            <w:rFonts w:eastAsiaTheme="minorHAnsi"/>
            <w:noProof/>
            <w:lang w:eastAsia="en-US"/>
          </w:rPr>
          <w:t xml:space="preserve"> – Peso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_Toc479333886 \h </w:instrText>
        </w:r>
        <w:r w:rsidR="009A72E6">
          <w:rPr>
            <w:noProof/>
            <w:webHidden/>
          </w:rPr>
        </w:r>
        <w:r w:rsidR="009A72E6">
          <w:rPr>
            <w:noProof/>
            <w:webHidden/>
          </w:rPr>
          <w:fldChar w:fldCharType="separate"/>
        </w:r>
        <w:r w:rsidR="005F28B4">
          <w:rPr>
            <w:noProof/>
            <w:webHidden/>
          </w:rPr>
          <w:t>35</w:t>
        </w:r>
        <w:r w:rsidR="009A72E6">
          <w:rPr>
            <w:noProof/>
            <w:webHidden/>
          </w:rPr>
          <w:fldChar w:fldCharType="end"/>
        </w:r>
      </w:hyperlink>
    </w:p>
    <w:p w14:paraId="78B5FBE3" w14:textId="6CFABACD"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7" w:history="1">
        <w:r w:rsidR="009A72E6" w:rsidRPr="007E4EBF">
          <w:rPr>
            <w:rStyle w:val="Hiperligao"/>
            <w:noProof/>
          </w:rPr>
          <w:t>Figura 12</w:t>
        </w:r>
        <w:r w:rsidR="009A72E6" w:rsidRPr="007E4EBF">
          <w:rPr>
            <w:rStyle w:val="Hiperligao"/>
            <w:rFonts w:eastAsiaTheme="minorHAnsi"/>
            <w:noProof/>
            <w:lang w:eastAsia="en-US"/>
          </w:rPr>
          <w:t xml:space="preserve"> – luminosidade (L*)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_Toc479333887 \h </w:instrText>
        </w:r>
        <w:r w:rsidR="009A72E6">
          <w:rPr>
            <w:noProof/>
            <w:webHidden/>
          </w:rPr>
        </w:r>
        <w:r w:rsidR="009A72E6">
          <w:rPr>
            <w:noProof/>
            <w:webHidden/>
          </w:rPr>
          <w:fldChar w:fldCharType="separate"/>
        </w:r>
        <w:r w:rsidR="005F28B4">
          <w:rPr>
            <w:noProof/>
            <w:webHidden/>
          </w:rPr>
          <w:t>36</w:t>
        </w:r>
        <w:r w:rsidR="009A72E6">
          <w:rPr>
            <w:noProof/>
            <w:webHidden/>
          </w:rPr>
          <w:fldChar w:fldCharType="end"/>
        </w:r>
      </w:hyperlink>
    </w:p>
    <w:p w14:paraId="788D1B63" w14:textId="68AC2A6C"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8" w:history="1">
        <w:r w:rsidR="009A72E6" w:rsidRPr="007E4EBF">
          <w:rPr>
            <w:rStyle w:val="Hiperligao"/>
            <w:noProof/>
          </w:rPr>
          <w:t xml:space="preserve">Figura 13 - Parâmetro de cor (a*) dos frutos de quatro diferentes ecótipos/cultivares do figo-da-índia ‘laranja’, ‘verde’, ‘Rosso’ e ‘Gialla’). Os valores representam uma média de 30 amostras por cultivar. Barras com a </w:t>
        </w:r>
        <w:r w:rsidR="009A72E6" w:rsidRPr="007E4EBF">
          <w:rPr>
            <w:rStyle w:val="Hiperligao"/>
            <w:noProof/>
          </w:rPr>
          <w:lastRenderedPageBreak/>
          <w:t>mesma letra no topo não são significativamente diferentes pelo teste de Duncan (Duncan Multiple Range Test, at P&lt;0.05)</w:t>
        </w:r>
        <w:r w:rsidR="009A72E6" w:rsidRPr="007E4EBF">
          <w:rPr>
            <w:rStyle w:val="Hiperligao"/>
            <w:rFonts w:eastAsiaTheme="minorHAnsi"/>
            <w:noProof/>
            <w:lang w:eastAsia="en-US"/>
          </w:rPr>
          <w:t>.</w:t>
        </w:r>
        <w:r w:rsidR="009A72E6">
          <w:rPr>
            <w:noProof/>
            <w:webHidden/>
          </w:rPr>
          <w:tab/>
        </w:r>
        <w:r w:rsidR="009A72E6">
          <w:rPr>
            <w:noProof/>
            <w:webHidden/>
          </w:rPr>
          <w:fldChar w:fldCharType="begin"/>
        </w:r>
        <w:r w:rsidR="009A72E6">
          <w:rPr>
            <w:noProof/>
            <w:webHidden/>
          </w:rPr>
          <w:instrText xml:space="preserve"> PAGEREF _Toc479333888 \h </w:instrText>
        </w:r>
        <w:r w:rsidR="009A72E6">
          <w:rPr>
            <w:noProof/>
            <w:webHidden/>
          </w:rPr>
        </w:r>
        <w:r w:rsidR="009A72E6">
          <w:rPr>
            <w:noProof/>
            <w:webHidden/>
          </w:rPr>
          <w:fldChar w:fldCharType="separate"/>
        </w:r>
        <w:r w:rsidR="005F28B4">
          <w:rPr>
            <w:noProof/>
            <w:webHidden/>
          </w:rPr>
          <w:t>37</w:t>
        </w:r>
        <w:r w:rsidR="009A72E6">
          <w:rPr>
            <w:noProof/>
            <w:webHidden/>
          </w:rPr>
          <w:fldChar w:fldCharType="end"/>
        </w:r>
      </w:hyperlink>
    </w:p>
    <w:p w14:paraId="5860A2C5" w14:textId="660C7375"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89" w:history="1">
        <w:r w:rsidR="009A72E6" w:rsidRPr="007E4EBF">
          <w:rPr>
            <w:rStyle w:val="Hiperligao"/>
            <w:noProof/>
          </w:rPr>
          <w:t>Figura 14 - Parâmetro da cor b*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_Toc479333889 \h </w:instrText>
        </w:r>
        <w:r w:rsidR="009A72E6">
          <w:rPr>
            <w:noProof/>
            <w:webHidden/>
          </w:rPr>
        </w:r>
        <w:r w:rsidR="009A72E6">
          <w:rPr>
            <w:noProof/>
            <w:webHidden/>
          </w:rPr>
          <w:fldChar w:fldCharType="separate"/>
        </w:r>
        <w:r w:rsidR="005F28B4">
          <w:rPr>
            <w:noProof/>
            <w:webHidden/>
          </w:rPr>
          <w:t>38</w:t>
        </w:r>
        <w:r w:rsidR="009A72E6">
          <w:rPr>
            <w:noProof/>
            <w:webHidden/>
          </w:rPr>
          <w:fldChar w:fldCharType="end"/>
        </w:r>
      </w:hyperlink>
    </w:p>
    <w:p w14:paraId="0E513882" w14:textId="18EC1DA6"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0" w:history="1">
        <w:r w:rsidR="009A72E6" w:rsidRPr="007E4EBF">
          <w:rPr>
            <w:rStyle w:val="Hiperligao"/>
            <w:noProof/>
          </w:rPr>
          <w:t>Figura 15 – Hue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_Toc479333890 \h </w:instrText>
        </w:r>
        <w:r w:rsidR="009A72E6">
          <w:rPr>
            <w:noProof/>
            <w:webHidden/>
          </w:rPr>
        </w:r>
        <w:r w:rsidR="009A72E6">
          <w:rPr>
            <w:noProof/>
            <w:webHidden/>
          </w:rPr>
          <w:fldChar w:fldCharType="separate"/>
        </w:r>
        <w:r w:rsidR="005F28B4">
          <w:rPr>
            <w:noProof/>
            <w:webHidden/>
          </w:rPr>
          <w:t>39</w:t>
        </w:r>
        <w:r w:rsidR="009A72E6">
          <w:rPr>
            <w:noProof/>
            <w:webHidden/>
          </w:rPr>
          <w:fldChar w:fldCharType="end"/>
        </w:r>
      </w:hyperlink>
    </w:p>
    <w:p w14:paraId="5CF19E01" w14:textId="11101A99"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1" w:history="1">
        <w:r w:rsidR="009A72E6" w:rsidRPr="007E4EBF">
          <w:rPr>
            <w:rStyle w:val="Hiperligao"/>
            <w:noProof/>
          </w:rPr>
          <w:t xml:space="preserve">Figura 16 - </w:t>
        </w:r>
        <w:r w:rsidR="009A72E6" w:rsidRPr="007E4EBF">
          <w:rPr>
            <w:rStyle w:val="Hiperligao"/>
            <w:rFonts w:eastAsiaTheme="minorHAnsi"/>
            <w:noProof/>
            <w:lang w:eastAsia="en-US"/>
          </w:rPr>
          <w:t>Croma (C*)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_Toc479333891 \h </w:instrText>
        </w:r>
        <w:r w:rsidR="009A72E6">
          <w:rPr>
            <w:noProof/>
            <w:webHidden/>
          </w:rPr>
        </w:r>
        <w:r w:rsidR="009A72E6">
          <w:rPr>
            <w:noProof/>
            <w:webHidden/>
          </w:rPr>
          <w:fldChar w:fldCharType="separate"/>
        </w:r>
        <w:r w:rsidR="005F28B4">
          <w:rPr>
            <w:noProof/>
            <w:webHidden/>
          </w:rPr>
          <w:t>40</w:t>
        </w:r>
        <w:r w:rsidR="009A72E6">
          <w:rPr>
            <w:noProof/>
            <w:webHidden/>
          </w:rPr>
          <w:fldChar w:fldCharType="end"/>
        </w:r>
      </w:hyperlink>
    </w:p>
    <w:p w14:paraId="3C4770D8" w14:textId="72CDB4D0"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2" w:history="1">
        <w:r w:rsidR="009A72E6" w:rsidRPr="007E4EBF">
          <w:rPr>
            <w:rStyle w:val="Hiperligao"/>
            <w:noProof/>
          </w:rPr>
          <w:t>Figura 17 - Firmeza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_Toc479333892 \h </w:instrText>
        </w:r>
        <w:r w:rsidR="009A72E6">
          <w:rPr>
            <w:noProof/>
            <w:webHidden/>
          </w:rPr>
        </w:r>
        <w:r w:rsidR="009A72E6">
          <w:rPr>
            <w:noProof/>
            <w:webHidden/>
          </w:rPr>
          <w:fldChar w:fldCharType="separate"/>
        </w:r>
        <w:r w:rsidR="005F28B4">
          <w:rPr>
            <w:noProof/>
            <w:webHidden/>
          </w:rPr>
          <w:t>41</w:t>
        </w:r>
        <w:r w:rsidR="009A72E6">
          <w:rPr>
            <w:noProof/>
            <w:webHidden/>
          </w:rPr>
          <w:fldChar w:fldCharType="end"/>
        </w:r>
      </w:hyperlink>
    </w:p>
    <w:p w14:paraId="1BC0D833" w14:textId="540CDA66"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3" w:history="1">
        <w:r w:rsidR="009A72E6" w:rsidRPr="007E4EBF">
          <w:rPr>
            <w:rStyle w:val="Hiperligao"/>
            <w:noProof/>
          </w:rPr>
          <w:t xml:space="preserve">Figura 18 - </w:t>
        </w:r>
        <w:r w:rsidR="009A72E6" w:rsidRPr="007E4EBF">
          <w:rPr>
            <w:rStyle w:val="Hiperligao"/>
            <w:rFonts w:ascii="Calibri" w:eastAsiaTheme="minorHAnsi" w:hAnsi="Calibri"/>
            <w:noProof/>
            <w:lang w:eastAsia="en-US"/>
          </w:rPr>
          <w:t>°</w:t>
        </w:r>
        <w:r w:rsidR="009A72E6" w:rsidRPr="007E4EBF">
          <w:rPr>
            <w:rStyle w:val="Hiperligao"/>
            <w:rFonts w:eastAsiaTheme="minorHAnsi"/>
            <w:noProof/>
            <w:lang w:eastAsia="en-US"/>
          </w:rPr>
          <w:t>Brix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_Toc479333893 \h </w:instrText>
        </w:r>
        <w:r w:rsidR="009A72E6">
          <w:rPr>
            <w:noProof/>
            <w:webHidden/>
          </w:rPr>
        </w:r>
        <w:r w:rsidR="009A72E6">
          <w:rPr>
            <w:noProof/>
            <w:webHidden/>
          </w:rPr>
          <w:fldChar w:fldCharType="separate"/>
        </w:r>
        <w:r w:rsidR="005F28B4">
          <w:rPr>
            <w:noProof/>
            <w:webHidden/>
          </w:rPr>
          <w:t>42</w:t>
        </w:r>
        <w:r w:rsidR="009A72E6">
          <w:rPr>
            <w:noProof/>
            <w:webHidden/>
          </w:rPr>
          <w:fldChar w:fldCharType="end"/>
        </w:r>
      </w:hyperlink>
    </w:p>
    <w:p w14:paraId="5032EC2D" w14:textId="21269878"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4" w:history="1">
        <w:r w:rsidR="00AC44FA">
          <w:rPr>
            <w:rStyle w:val="Hiperligao"/>
            <w:noProof/>
          </w:rPr>
          <w:t xml:space="preserve">Figura 19 </w:t>
        </w:r>
        <w:r w:rsidR="009A72E6" w:rsidRPr="007E4EBF">
          <w:rPr>
            <w:rStyle w:val="Hiperligao"/>
            <w:noProof/>
          </w:rPr>
          <w:t xml:space="preserve"> </w:t>
        </w:r>
        <w:r w:rsidR="009A72E6" w:rsidRPr="007E4EBF">
          <w:rPr>
            <w:rStyle w:val="Hiperligao"/>
            <w:rFonts w:eastAsiaTheme="minorHAnsi"/>
            <w:noProof/>
            <w:lang w:eastAsia="en-US"/>
          </w:rPr>
          <w:t>– pH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_Toc479333894 \h </w:instrText>
        </w:r>
        <w:r w:rsidR="009A72E6">
          <w:rPr>
            <w:noProof/>
            <w:webHidden/>
          </w:rPr>
        </w:r>
        <w:r w:rsidR="009A72E6">
          <w:rPr>
            <w:noProof/>
            <w:webHidden/>
          </w:rPr>
          <w:fldChar w:fldCharType="separate"/>
        </w:r>
        <w:r w:rsidR="005F28B4">
          <w:rPr>
            <w:noProof/>
            <w:webHidden/>
          </w:rPr>
          <w:t>43</w:t>
        </w:r>
        <w:r w:rsidR="009A72E6">
          <w:rPr>
            <w:noProof/>
            <w:webHidden/>
          </w:rPr>
          <w:fldChar w:fldCharType="end"/>
        </w:r>
      </w:hyperlink>
    </w:p>
    <w:p w14:paraId="4C9B5768" w14:textId="75197561"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5" w:history="1">
        <w:r w:rsidR="009A72E6" w:rsidRPr="007E4EBF">
          <w:rPr>
            <w:rStyle w:val="Hiperligao"/>
            <w:noProof/>
          </w:rPr>
          <w:t xml:space="preserve">Figura 20 - </w:t>
        </w:r>
        <w:r w:rsidR="009A72E6" w:rsidRPr="007E4EBF">
          <w:rPr>
            <w:rStyle w:val="Hiperligao"/>
            <w:rFonts w:eastAsiaTheme="minorHAnsi"/>
            <w:noProof/>
            <w:lang w:eastAsia="en-US"/>
          </w:rPr>
          <w:t>Acidez titulável dos frutos de quatro diferentes ecótipos/cultivares do figo-da-índia (‘laranja’, ‘verde’, ‘Rosso’ e ‘Gialla’). Os valores representam uma média de 30 amostras por cultivar. Barras com a mesma letra no topo não são significativamente diferentes pelo teste de Duncan (Duncan Multiple Range Test, at P&lt;0.05).</w:t>
        </w:r>
        <w:r w:rsidR="009A72E6">
          <w:rPr>
            <w:noProof/>
            <w:webHidden/>
          </w:rPr>
          <w:tab/>
        </w:r>
        <w:r w:rsidR="009A72E6">
          <w:rPr>
            <w:noProof/>
            <w:webHidden/>
          </w:rPr>
          <w:fldChar w:fldCharType="begin"/>
        </w:r>
        <w:r w:rsidR="009A72E6">
          <w:rPr>
            <w:noProof/>
            <w:webHidden/>
          </w:rPr>
          <w:instrText xml:space="preserve"> PAGEREF _Toc479333895 \h </w:instrText>
        </w:r>
        <w:r w:rsidR="009A72E6">
          <w:rPr>
            <w:noProof/>
            <w:webHidden/>
          </w:rPr>
        </w:r>
        <w:r w:rsidR="009A72E6">
          <w:rPr>
            <w:noProof/>
            <w:webHidden/>
          </w:rPr>
          <w:fldChar w:fldCharType="separate"/>
        </w:r>
        <w:r w:rsidR="005F28B4">
          <w:rPr>
            <w:noProof/>
            <w:webHidden/>
          </w:rPr>
          <w:t>44</w:t>
        </w:r>
        <w:r w:rsidR="009A72E6">
          <w:rPr>
            <w:noProof/>
            <w:webHidden/>
          </w:rPr>
          <w:fldChar w:fldCharType="end"/>
        </w:r>
      </w:hyperlink>
    </w:p>
    <w:p w14:paraId="7E75218B" w14:textId="0FE11940"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6" w:history="1">
        <w:r w:rsidR="009A72E6">
          <w:rPr>
            <w:rStyle w:val="Hiperligao"/>
            <w:noProof/>
          </w:rPr>
          <w:t>Figura 21</w:t>
        </w:r>
        <w:r w:rsidR="009A72E6" w:rsidRPr="007E4EBF">
          <w:rPr>
            <w:rStyle w:val="Hiperligao"/>
            <w:noProof/>
          </w:rPr>
          <w:t xml:space="preserve"> </w:t>
        </w:r>
        <w:r w:rsidR="009A72E6" w:rsidRPr="007E4EBF">
          <w:rPr>
            <w:rStyle w:val="Hiperligao"/>
            <w:rFonts w:eastAsiaTheme="minorHAnsi"/>
            <w:noProof/>
            <w:lang w:eastAsia="en-US"/>
          </w:rPr>
          <w:t>– Teor de fenóis totais 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_Toc479333896 \h </w:instrText>
        </w:r>
        <w:r w:rsidR="009A72E6">
          <w:rPr>
            <w:noProof/>
            <w:webHidden/>
          </w:rPr>
        </w:r>
        <w:r w:rsidR="009A72E6">
          <w:rPr>
            <w:noProof/>
            <w:webHidden/>
          </w:rPr>
          <w:fldChar w:fldCharType="separate"/>
        </w:r>
        <w:r w:rsidR="005F28B4">
          <w:rPr>
            <w:noProof/>
            <w:webHidden/>
          </w:rPr>
          <w:t>45</w:t>
        </w:r>
        <w:r w:rsidR="009A72E6">
          <w:rPr>
            <w:noProof/>
            <w:webHidden/>
          </w:rPr>
          <w:fldChar w:fldCharType="end"/>
        </w:r>
      </w:hyperlink>
    </w:p>
    <w:p w14:paraId="6E94DFDB" w14:textId="0F133862"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7" w:history="1">
        <w:r w:rsidR="009A72E6" w:rsidRPr="007E4EBF">
          <w:rPr>
            <w:rStyle w:val="Hiperligao"/>
            <w:noProof/>
          </w:rPr>
          <w:t xml:space="preserve">Figura 22 - </w:t>
        </w:r>
        <w:r w:rsidR="009A72E6" w:rsidRPr="007E4EBF">
          <w:rPr>
            <w:rStyle w:val="Hiperligao"/>
            <w:rFonts w:eastAsiaTheme="minorHAnsi"/>
            <w:noProof/>
            <w:lang w:eastAsia="en-US"/>
          </w:rPr>
          <w:t>TEAC 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_Toc479333897 \h </w:instrText>
        </w:r>
        <w:r w:rsidR="009A72E6">
          <w:rPr>
            <w:noProof/>
            <w:webHidden/>
          </w:rPr>
        </w:r>
        <w:r w:rsidR="009A72E6">
          <w:rPr>
            <w:noProof/>
            <w:webHidden/>
          </w:rPr>
          <w:fldChar w:fldCharType="separate"/>
        </w:r>
        <w:r w:rsidR="005F28B4">
          <w:rPr>
            <w:noProof/>
            <w:webHidden/>
          </w:rPr>
          <w:t>47</w:t>
        </w:r>
        <w:r w:rsidR="009A72E6">
          <w:rPr>
            <w:noProof/>
            <w:webHidden/>
          </w:rPr>
          <w:fldChar w:fldCharType="end"/>
        </w:r>
      </w:hyperlink>
    </w:p>
    <w:p w14:paraId="605CD941" w14:textId="559663BE"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8" w:history="1">
        <w:r w:rsidR="009A72E6" w:rsidRPr="007E4EBF">
          <w:rPr>
            <w:rStyle w:val="Hiperligao"/>
            <w:noProof/>
          </w:rPr>
          <w:t xml:space="preserve">Figura 23 </w:t>
        </w:r>
        <w:r w:rsidR="009A72E6" w:rsidRPr="007E4EBF">
          <w:rPr>
            <w:rStyle w:val="Hiperligao"/>
            <w:rFonts w:eastAsiaTheme="minorHAnsi"/>
            <w:noProof/>
            <w:lang w:eastAsia="en-US"/>
          </w:rPr>
          <w:t>- Atividade antioxidante (método DPPH) 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_Toc479333898 \h </w:instrText>
        </w:r>
        <w:r w:rsidR="009A72E6">
          <w:rPr>
            <w:noProof/>
            <w:webHidden/>
          </w:rPr>
        </w:r>
        <w:r w:rsidR="009A72E6">
          <w:rPr>
            <w:noProof/>
            <w:webHidden/>
          </w:rPr>
          <w:fldChar w:fldCharType="separate"/>
        </w:r>
        <w:r w:rsidR="005F28B4">
          <w:rPr>
            <w:noProof/>
            <w:webHidden/>
          </w:rPr>
          <w:t>48</w:t>
        </w:r>
        <w:r w:rsidR="009A72E6">
          <w:rPr>
            <w:noProof/>
            <w:webHidden/>
          </w:rPr>
          <w:fldChar w:fldCharType="end"/>
        </w:r>
      </w:hyperlink>
    </w:p>
    <w:p w14:paraId="650786D3" w14:textId="35CECF32"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899" w:history="1">
        <w:r w:rsidR="009A72E6" w:rsidRPr="007E4EBF">
          <w:rPr>
            <w:rStyle w:val="Hiperligao"/>
            <w:noProof/>
          </w:rPr>
          <w:t xml:space="preserve">Figura 24- Teor de flavonoides dos frutos de quatro diferentes ecótipos/cultivares do figo-da-índia (‘laranja’, ‘verde’, ‘Rosso’ e ‘Gialla’). Os valores representam uma média de 3 amostras por cultivar. As barras referentes à parte da casca com a mesma letra maiúscula e barras referentes à parte da </w:t>
        </w:r>
        <w:r w:rsidR="009A72E6" w:rsidRPr="007E4EBF">
          <w:rPr>
            <w:rStyle w:val="Hiperligao"/>
            <w:noProof/>
          </w:rPr>
          <w:lastRenderedPageBreak/>
          <w:t>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_Toc479333899 \h </w:instrText>
        </w:r>
        <w:r w:rsidR="009A72E6">
          <w:rPr>
            <w:noProof/>
            <w:webHidden/>
          </w:rPr>
        </w:r>
        <w:r w:rsidR="009A72E6">
          <w:rPr>
            <w:noProof/>
            <w:webHidden/>
          </w:rPr>
          <w:fldChar w:fldCharType="separate"/>
        </w:r>
        <w:r w:rsidR="005F28B4">
          <w:rPr>
            <w:noProof/>
            <w:webHidden/>
          </w:rPr>
          <w:t>49</w:t>
        </w:r>
        <w:r w:rsidR="009A72E6">
          <w:rPr>
            <w:noProof/>
            <w:webHidden/>
          </w:rPr>
          <w:fldChar w:fldCharType="end"/>
        </w:r>
      </w:hyperlink>
    </w:p>
    <w:p w14:paraId="6CCC424A" w14:textId="5386D020"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0" w:history="1">
        <w:r w:rsidR="009A72E6" w:rsidRPr="007E4EBF">
          <w:rPr>
            <w:rStyle w:val="Hiperligao"/>
            <w:noProof/>
          </w:rPr>
          <w:t xml:space="preserve">Figura 25 - </w:t>
        </w:r>
        <w:r w:rsidR="009A72E6" w:rsidRPr="007E4EBF">
          <w:rPr>
            <w:rStyle w:val="Hiperligao"/>
            <w:rFonts w:eastAsiaTheme="minorHAnsi"/>
            <w:noProof/>
            <w:lang w:eastAsia="en-US"/>
          </w:rPr>
          <w:t>Teor de betacianinas dos frutos de quatro diferentes ecótipos/cultivares do figo-da-índia (‘laranja’, ‘verde’, ‘Rosso’ e ‘Gialla’). Os valores representam uma média de 3 amostras por cultivar. As barras referentes à parte da casca com a mesma letra maiúscula e barras referentes à parte da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_Toc479333900 \h </w:instrText>
        </w:r>
        <w:r w:rsidR="009A72E6">
          <w:rPr>
            <w:noProof/>
            <w:webHidden/>
          </w:rPr>
        </w:r>
        <w:r w:rsidR="009A72E6">
          <w:rPr>
            <w:noProof/>
            <w:webHidden/>
          </w:rPr>
          <w:fldChar w:fldCharType="separate"/>
        </w:r>
        <w:r w:rsidR="005F28B4">
          <w:rPr>
            <w:noProof/>
            <w:webHidden/>
          </w:rPr>
          <w:t>51</w:t>
        </w:r>
        <w:r w:rsidR="009A72E6">
          <w:rPr>
            <w:noProof/>
            <w:webHidden/>
          </w:rPr>
          <w:fldChar w:fldCharType="end"/>
        </w:r>
      </w:hyperlink>
    </w:p>
    <w:p w14:paraId="7317F176" w14:textId="5A71F348"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1" w:history="1">
        <w:r w:rsidR="009A72E6" w:rsidRPr="007E4EBF">
          <w:rPr>
            <w:rStyle w:val="Hiperligao"/>
            <w:noProof/>
          </w:rPr>
          <w:t>Figura 26 - Teor de betaxantinas dos frutos de quatro diferentes ecótipos/cultivares do figo-da-índia (‘laranja’, ‘verde’, ‘Rosso’ e ‘Gialla’). Os valores representam uma média de 3 amostras por cultivar. As barras referentes à parte da casca com a mesma letra maiúscula e barras referentes à parte da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_Toc479333901 \h </w:instrText>
        </w:r>
        <w:r w:rsidR="009A72E6">
          <w:rPr>
            <w:noProof/>
            <w:webHidden/>
          </w:rPr>
        </w:r>
        <w:r w:rsidR="009A72E6">
          <w:rPr>
            <w:noProof/>
            <w:webHidden/>
          </w:rPr>
          <w:fldChar w:fldCharType="separate"/>
        </w:r>
        <w:r w:rsidR="005F28B4">
          <w:rPr>
            <w:noProof/>
            <w:webHidden/>
          </w:rPr>
          <w:t>52</w:t>
        </w:r>
        <w:r w:rsidR="009A72E6">
          <w:rPr>
            <w:noProof/>
            <w:webHidden/>
          </w:rPr>
          <w:fldChar w:fldCharType="end"/>
        </w:r>
      </w:hyperlink>
    </w:p>
    <w:p w14:paraId="78974150" w14:textId="68696CD2"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2" w:history="1">
        <w:r w:rsidR="009A72E6" w:rsidRPr="007E4EBF">
          <w:rPr>
            <w:rStyle w:val="Hiperligao"/>
            <w:noProof/>
          </w:rPr>
          <w:t>Figura 27 - Taninos dos frutos de quatro diferentes ecótipos/cultivares do figo-da-índia (‘laranja’, ‘verde’, ‘Rosso’ e ‘Gialla’). Os valores representam uma média de 3 amostras por cultivar. As barras referentes à parte da casca com a mesma letra maiúscula e barras referentes à parte da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_Toc479333902 \h </w:instrText>
        </w:r>
        <w:r w:rsidR="009A72E6">
          <w:rPr>
            <w:noProof/>
            <w:webHidden/>
          </w:rPr>
        </w:r>
        <w:r w:rsidR="009A72E6">
          <w:rPr>
            <w:noProof/>
            <w:webHidden/>
          </w:rPr>
          <w:fldChar w:fldCharType="separate"/>
        </w:r>
        <w:r w:rsidR="005F28B4">
          <w:rPr>
            <w:noProof/>
            <w:webHidden/>
          </w:rPr>
          <w:t>53</w:t>
        </w:r>
        <w:r w:rsidR="009A72E6">
          <w:rPr>
            <w:noProof/>
            <w:webHidden/>
          </w:rPr>
          <w:fldChar w:fldCharType="end"/>
        </w:r>
      </w:hyperlink>
    </w:p>
    <w:p w14:paraId="5DB1873B" w14:textId="74B378CF"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3" w:history="1">
        <w:r w:rsidR="009A72E6" w:rsidRPr="007E4EBF">
          <w:rPr>
            <w:rStyle w:val="Hiperligao"/>
            <w:noProof/>
          </w:rPr>
          <w:t xml:space="preserve">Figura 28 -  </w:t>
        </w:r>
        <w:r w:rsidR="009A72E6" w:rsidRPr="007E4EBF">
          <w:rPr>
            <w:rStyle w:val="Hiperligao"/>
            <w:rFonts w:eastAsiaTheme="minorHAnsi"/>
            <w:noProof/>
            <w:lang w:eastAsia="en-US"/>
          </w:rPr>
          <w:t>– Quantificação dos ácidos orgânicos detetados por HPLC das diferentes cultivares de figo da índia.</w:t>
        </w:r>
        <w:r w:rsidR="009A72E6">
          <w:rPr>
            <w:noProof/>
            <w:webHidden/>
          </w:rPr>
          <w:tab/>
        </w:r>
        <w:r w:rsidR="009A72E6">
          <w:rPr>
            <w:noProof/>
            <w:webHidden/>
          </w:rPr>
          <w:fldChar w:fldCharType="begin"/>
        </w:r>
        <w:r w:rsidR="009A72E6">
          <w:rPr>
            <w:noProof/>
            <w:webHidden/>
          </w:rPr>
          <w:instrText xml:space="preserve"> PAGEREF _Toc479333903 \h </w:instrText>
        </w:r>
        <w:r w:rsidR="009A72E6">
          <w:rPr>
            <w:noProof/>
            <w:webHidden/>
          </w:rPr>
        </w:r>
        <w:r w:rsidR="009A72E6">
          <w:rPr>
            <w:noProof/>
            <w:webHidden/>
          </w:rPr>
          <w:fldChar w:fldCharType="separate"/>
        </w:r>
        <w:r w:rsidR="005F28B4">
          <w:rPr>
            <w:noProof/>
            <w:webHidden/>
          </w:rPr>
          <w:t>55</w:t>
        </w:r>
        <w:r w:rsidR="009A72E6">
          <w:rPr>
            <w:noProof/>
            <w:webHidden/>
          </w:rPr>
          <w:fldChar w:fldCharType="end"/>
        </w:r>
      </w:hyperlink>
    </w:p>
    <w:p w14:paraId="7E9DD54C" w14:textId="7A8A74F4"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4" w:history="1">
        <w:r w:rsidR="009A72E6" w:rsidRPr="007E4EBF">
          <w:rPr>
            <w:rStyle w:val="Hiperligao"/>
            <w:noProof/>
          </w:rPr>
          <w:t xml:space="preserve">Figura 29 - </w:t>
        </w:r>
        <w:r w:rsidR="009A72E6" w:rsidRPr="007E4EBF">
          <w:rPr>
            <w:rStyle w:val="Hiperligao"/>
            <w:rFonts w:eastAsiaTheme="minorHAnsi"/>
            <w:noProof/>
            <w:lang w:eastAsia="en-US"/>
          </w:rPr>
          <w:t>Quantificação dos açucares detetados por HPLC-DAD das diferentes cultivares de figo-da-índia.</w:t>
        </w:r>
        <w:r w:rsidR="009A72E6">
          <w:rPr>
            <w:noProof/>
            <w:webHidden/>
          </w:rPr>
          <w:tab/>
        </w:r>
        <w:r w:rsidR="009A72E6">
          <w:rPr>
            <w:noProof/>
            <w:webHidden/>
          </w:rPr>
          <w:fldChar w:fldCharType="begin"/>
        </w:r>
        <w:r w:rsidR="009A72E6">
          <w:rPr>
            <w:noProof/>
            <w:webHidden/>
          </w:rPr>
          <w:instrText xml:space="preserve"> PAGEREF _Toc479333904 \h </w:instrText>
        </w:r>
        <w:r w:rsidR="009A72E6">
          <w:rPr>
            <w:noProof/>
            <w:webHidden/>
          </w:rPr>
        </w:r>
        <w:r w:rsidR="009A72E6">
          <w:rPr>
            <w:noProof/>
            <w:webHidden/>
          </w:rPr>
          <w:fldChar w:fldCharType="separate"/>
        </w:r>
        <w:r w:rsidR="005F28B4">
          <w:rPr>
            <w:noProof/>
            <w:webHidden/>
          </w:rPr>
          <w:t>57</w:t>
        </w:r>
        <w:r w:rsidR="009A72E6">
          <w:rPr>
            <w:noProof/>
            <w:webHidden/>
          </w:rPr>
          <w:fldChar w:fldCharType="end"/>
        </w:r>
      </w:hyperlink>
    </w:p>
    <w:p w14:paraId="080CAFE9" w14:textId="7EEA91AE" w:rsidR="009A72E6" w:rsidRDefault="00805B44">
      <w:pPr>
        <w:pStyle w:val="ndicedeilustraes"/>
        <w:tabs>
          <w:tab w:val="right" w:leader="dot" w:pos="8494"/>
        </w:tabs>
        <w:rPr>
          <w:rFonts w:asciiTheme="minorHAnsi" w:eastAsiaTheme="minorEastAsia" w:hAnsiTheme="minorHAnsi" w:cstheme="minorBidi"/>
          <w:noProof/>
          <w:color w:val="auto"/>
          <w:sz w:val="22"/>
        </w:rPr>
      </w:pPr>
      <w:hyperlink w:anchor="_Toc479333905" w:history="1">
        <w:r w:rsidR="009A72E6" w:rsidRPr="007E4EBF">
          <w:rPr>
            <w:rStyle w:val="Hiperligao"/>
            <w:noProof/>
          </w:rPr>
          <w:t>Figura 30 – Teor de fibra dos frutos de quatro diferentes ecótipos/cultivares do figo-da-índia (‘laranja’, ‘verde’, ‘Rosso’ e ‘Gialla’). Os valores representam uma média de 3 amostras por cultivar. As barras referentes à parte da casca com a mesma letra maiúscula e barras referentes à parte da polpa com a mesma letra minúscula no topo não são significativamente diferentes pelo teste de Duncan (Duncan Multiple Range Test, at P&lt;0.05). As duas barras com NS, * ou *** no topo não são significativamente diferentes ou são significativamente diferentes para P&lt;0.05 ou P &lt;0.01.</w:t>
        </w:r>
        <w:r w:rsidR="009A72E6">
          <w:rPr>
            <w:noProof/>
            <w:webHidden/>
          </w:rPr>
          <w:tab/>
        </w:r>
        <w:r w:rsidR="009A72E6">
          <w:rPr>
            <w:noProof/>
            <w:webHidden/>
          </w:rPr>
          <w:fldChar w:fldCharType="begin"/>
        </w:r>
        <w:r w:rsidR="009A72E6">
          <w:rPr>
            <w:noProof/>
            <w:webHidden/>
          </w:rPr>
          <w:instrText xml:space="preserve"> PAGEREF _Toc479333905 \h </w:instrText>
        </w:r>
        <w:r w:rsidR="009A72E6">
          <w:rPr>
            <w:noProof/>
            <w:webHidden/>
          </w:rPr>
        </w:r>
        <w:r w:rsidR="009A72E6">
          <w:rPr>
            <w:noProof/>
            <w:webHidden/>
          </w:rPr>
          <w:fldChar w:fldCharType="separate"/>
        </w:r>
        <w:r w:rsidR="005F28B4">
          <w:rPr>
            <w:noProof/>
            <w:webHidden/>
          </w:rPr>
          <w:t>58</w:t>
        </w:r>
        <w:r w:rsidR="009A72E6">
          <w:rPr>
            <w:noProof/>
            <w:webHidden/>
          </w:rPr>
          <w:fldChar w:fldCharType="end"/>
        </w:r>
      </w:hyperlink>
    </w:p>
    <w:p w14:paraId="06125A9B" w14:textId="201626B2" w:rsidR="00743AB9" w:rsidRDefault="009A72E6" w:rsidP="00743AB9">
      <w:pPr>
        <w:ind w:left="0" w:firstLine="0"/>
        <w:rPr>
          <w:color w:val="auto"/>
        </w:rPr>
      </w:pPr>
      <w:r>
        <w:fldChar w:fldCharType="end"/>
      </w:r>
      <w:r w:rsidR="00793253">
        <w:rPr>
          <w:color w:val="auto"/>
        </w:rPr>
        <w:t xml:space="preserve"> </w:t>
      </w:r>
    </w:p>
    <w:p w14:paraId="092A96CC" w14:textId="77777777" w:rsidR="00743AB9" w:rsidRDefault="00743AB9" w:rsidP="00743AB9">
      <w:pPr>
        <w:ind w:left="0" w:firstLine="0"/>
        <w:rPr>
          <w:color w:val="auto"/>
        </w:rPr>
      </w:pPr>
    </w:p>
    <w:p w14:paraId="41E7C336" w14:textId="77777777" w:rsidR="00743AB9" w:rsidRDefault="00743AB9" w:rsidP="00743AB9">
      <w:pPr>
        <w:ind w:left="0" w:firstLine="0"/>
        <w:rPr>
          <w:color w:val="auto"/>
        </w:rPr>
      </w:pPr>
    </w:p>
    <w:p w14:paraId="7338C3CF" w14:textId="77777777" w:rsidR="00743AB9" w:rsidRDefault="00743AB9" w:rsidP="00743AB9">
      <w:pPr>
        <w:ind w:left="0" w:firstLine="0"/>
        <w:rPr>
          <w:color w:val="auto"/>
        </w:rPr>
      </w:pPr>
    </w:p>
    <w:p w14:paraId="63BCCA31" w14:textId="77777777" w:rsidR="00743AB9" w:rsidRDefault="00793253" w:rsidP="00743AB9">
      <w:pPr>
        <w:ind w:left="0" w:firstLine="0"/>
        <w:rPr>
          <w:color w:val="auto"/>
          <w:sz w:val="32"/>
        </w:rPr>
      </w:pPr>
      <w:r w:rsidRPr="00793253">
        <w:rPr>
          <w:color w:val="auto"/>
          <w:sz w:val="32"/>
        </w:rPr>
        <w:t>Índice das tabelas</w:t>
      </w:r>
    </w:p>
    <w:p w14:paraId="5CA5AC84" w14:textId="77777777" w:rsidR="00793253" w:rsidRPr="00793253" w:rsidRDefault="00793253" w:rsidP="00743AB9">
      <w:pPr>
        <w:ind w:left="0" w:firstLine="0"/>
        <w:rPr>
          <w:color w:val="auto"/>
          <w:sz w:val="32"/>
        </w:rPr>
      </w:pPr>
    </w:p>
    <w:p w14:paraId="5AD82150" w14:textId="45066EF3" w:rsidR="00714D34" w:rsidRDefault="00793253" w:rsidP="000E7A76">
      <w:pPr>
        <w:pStyle w:val="ndicedeilustraes"/>
        <w:tabs>
          <w:tab w:val="right" w:leader="dot" w:pos="8494"/>
        </w:tabs>
        <w:rPr>
          <w:color w:val="auto"/>
        </w:rPr>
      </w:pPr>
      <w:r>
        <w:rPr>
          <w:color w:val="auto"/>
        </w:rPr>
        <w:fldChar w:fldCharType="begin"/>
      </w:r>
      <w:r>
        <w:rPr>
          <w:color w:val="auto"/>
        </w:rPr>
        <w:instrText xml:space="preserve"> TOC \h \z \c "Tabela" </w:instrText>
      </w:r>
      <w:r>
        <w:rPr>
          <w:color w:val="auto"/>
        </w:rPr>
        <w:fldChar w:fldCharType="separate"/>
      </w:r>
      <w:hyperlink w:anchor="_Toc462888463" w:history="1">
        <w:r w:rsidRPr="00744D11">
          <w:rPr>
            <w:rStyle w:val="Hiperligao"/>
            <w:noProof/>
          </w:rPr>
          <w:t xml:space="preserve">Tabela 1 - </w:t>
        </w:r>
        <w:r w:rsidRPr="00744D11">
          <w:rPr>
            <w:rStyle w:val="Hiperligao"/>
            <w:noProof/>
            <w:lang w:eastAsia="pt-BR"/>
          </w:rPr>
          <w:t>Características químicas e nutricionais presentes na polpa do figo da índia (Adaptado (Piga, 2004)</w:t>
        </w:r>
        <w:r>
          <w:rPr>
            <w:noProof/>
            <w:webHidden/>
          </w:rPr>
          <w:tab/>
        </w:r>
        <w:r>
          <w:rPr>
            <w:noProof/>
            <w:webHidden/>
          </w:rPr>
          <w:fldChar w:fldCharType="begin"/>
        </w:r>
        <w:r>
          <w:rPr>
            <w:noProof/>
            <w:webHidden/>
          </w:rPr>
          <w:instrText xml:space="preserve"> PAGEREF _Toc462888463 \h </w:instrText>
        </w:r>
        <w:r>
          <w:rPr>
            <w:noProof/>
            <w:webHidden/>
          </w:rPr>
        </w:r>
        <w:r>
          <w:rPr>
            <w:noProof/>
            <w:webHidden/>
          </w:rPr>
          <w:fldChar w:fldCharType="separate"/>
        </w:r>
        <w:r w:rsidR="005F28B4">
          <w:rPr>
            <w:noProof/>
            <w:webHidden/>
          </w:rPr>
          <w:t>17</w:t>
        </w:r>
        <w:r>
          <w:rPr>
            <w:noProof/>
            <w:webHidden/>
          </w:rPr>
          <w:fldChar w:fldCharType="end"/>
        </w:r>
      </w:hyperlink>
      <w:r w:rsidR="000E7A76">
        <w:rPr>
          <w:rStyle w:val="Hiperligao"/>
          <w:noProof/>
        </w:rPr>
        <w:t xml:space="preserve"> </w:t>
      </w:r>
      <w:r>
        <w:rPr>
          <w:color w:val="auto"/>
        </w:rPr>
        <w:fldChar w:fldCharType="end"/>
      </w:r>
      <w:r w:rsidR="00714D34">
        <w:rPr>
          <w:color w:val="auto"/>
        </w:rPr>
        <w:br w:type="page"/>
      </w:r>
    </w:p>
    <w:p w14:paraId="3082E057" w14:textId="77777777" w:rsidR="00714D34" w:rsidRDefault="00714D34" w:rsidP="00714D34">
      <w:pPr>
        <w:spacing w:after="160" w:line="259" w:lineRule="auto"/>
        <w:ind w:left="0" w:right="0" w:firstLine="0"/>
        <w:jc w:val="left"/>
        <w:rPr>
          <w:color w:val="auto"/>
        </w:rPr>
        <w:sectPr w:rsidR="00714D34" w:rsidSect="00232E7F">
          <w:headerReference w:type="default" r:id="rId13"/>
          <w:footerReference w:type="default" r:id="rId14"/>
          <w:footerReference w:type="first" r:id="rId15"/>
          <w:pgSz w:w="11906" w:h="16838"/>
          <w:pgMar w:top="1417" w:right="1701" w:bottom="1417" w:left="1701" w:header="708" w:footer="0" w:gutter="0"/>
          <w:pgNumType w:fmt="lowerRoman" w:start="1"/>
          <w:cols w:space="708"/>
          <w:docGrid w:linePitch="360"/>
        </w:sectPr>
      </w:pPr>
    </w:p>
    <w:p w14:paraId="27E54120" w14:textId="77777777" w:rsidR="003516A7" w:rsidRPr="007F1B6E" w:rsidRDefault="008474BA" w:rsidP="007F1B6E">
      <w:pPr>
        <w:pStyle w:val="Cabealho1"/>
        <w:rPr>
          <w:rFonts w:ascii="Times New Roman" w:hAnsi="Times New Roman" w:cs="Times New Roman"/>
          <w:color w:val="auto"/>
        </w:rPr>
      </w:pPr>
      <w:bookmarkStart w:id="1" w:name="_Toc462576789"/>
      <w:bookmarkStart w:id="2" w:name="_Toc479154804"/>
      <w:r w:rsidRPr="00E40C00">
        <w:rPr>
          <w:rFonts w:ascii="Times New Roman" w:hAnsi="Times New Roman" w:cs="Times New Roman"/>
          <w:color w:val="auto"/>
        </w:rPr>
        <w:lastRenderedPageBreak/>
        <w:t>1.</w:t>
      </w:r>
      <w:r w:rsidR="003516A7" w:rsidRPr="00E40C00">
        <w:rPr>
          <w:rFonts w:ascii="Times New Roman" w:hAnsi="Times New Roman" w:cs="Times New Roman"/>
          <w:color w:val="auto"/>
        </w:rPr>
        <w:t>Introduçã</w:t>
      </w:r>
      <w:bookmarkEnd w:id="1"/>
      <w:r w:rsidR="003516A7" w:rsidRPr="00E40C00">
        <w:rPr>
          <w:rFonts w:ascii="Times New Roman" w:hAnsi="Times New Roman" w:cs="Times New Roman"/>
          <w:color w:val="auto"/>
        </w:rPr>
        <w:t>o</w:t>
      </w:r>
      <w:bookmarkEnd w:id="2"/>
    </w:p>
    <w:p w14:paraId="21002219" w14:textId="77777777" w:rsidR="003516A7" w:rsidRPr="008474BA" w:rsidRDefault="003516A7" w:rsidP="008474BA">
      <w:pPr>
        <w:pStyle w:val="Cabealho2"/>
        <w:rPr>
          <w:rFonts w:ascii="Times New Roman" w:hAnsi="Times New Roman" w:cs="Times New Roman"/>
          <w:color w:val="auto"/>
        </w:rPr>
      </w:pPr>
      <w:bookmarkStart w:id="3" w:name="_Toc462576790"/>
      <w:bookmarkStart w:id="4" w:name="_Toc479154805"/>
      <w:r w:rsidRPr="008474BA">
        <w:rPr>
          <w:rFonts w:ascii="Times New Roman" w:hAnsi="Times New Roman" w:cs="Times New Roman"/>
          <w:color w:val="auto"/>
        </w:rPr>
        <w:t>1.1 Classificação botânica</w:t>
      </w:r>
      <w:bookmarkEnd w:id="3"/>
      <w:bookmarkEnd w:id="4"/>
    </w:p>
    <w:p w14:paraId="1D28D8C6" w14:textId="77777777" w:rsidR="003516A7" w:rsidRPr="003516A7" w:rsidRDefault="003516A7" w:rsidP="003516A7">
      <w:pPr>
        <w:ind w:left="0" w:firstLine="0"/>
      </w:pPr>
    </w:p>
    <w:p w14:paraId="4310E68B" w14:textId="28547E29" w:rsidR="003516A7" w:rsidRPr="003516A7" w:rsidRDefault="003516A7" w:rsidP="003516A7">
      <w:pPr>
        <w:spacing w:after="160" w:line="360" w:lineRule="auto"/>
        <w:ind w:left="0" w:right="0" w:firstLine="0"/>
        <w:rPr>
          <w:rFonts w:eastAsia="Calibri"/>
          <w:color w:val="auto"/>
          <w:szCs w:val="24"/>
          <w:lang w:eastAsia="en-US"/>
        </w:rPr>
      </w:pPr>
      <w:r w:rsidRPr="003516A7">
        <w:rPr>
          <w:rFonts w:eastAsia="Calibri"/>
          <w:i/>
          <w:color w:val="auto"/>
          <w:szCs w:val="24"/>
          <w:lang w:eastAsia="en-US"/>
        </w:rPr>
        <w:t>Opuntia-ficus indica</w:t>
      </w:r>
      <w:r w:rsidRPr="003516A7">
        <w:rPr>
          <w:rFonts w:eastAsia="Calibri"/>
          <w:color w:val="auto"/>
          <w:szCs w:val="24"/>
          <w:lang w:eastAsia="en-US"/>
        </w:rPr>
        <w:t xml:space="preserve"> (L.) Mill pertence</w:t>
      </w:r>
      <w:r w:rsidR="006D0BB2">
        <w:rPr>
          <w:rFonts w:eastAsia="Calibri"/>
          <w:color w:val="auto"/>
          <w:szCs w:val="24"/>
          <w:lang w:eastAsia="en-US"/>
        </w:rPr>
        <w:t>nte à família Cactaceae e é membro</w:t>
      </w:r>
      <w:r w:rsidRPr="003516A7">
        <w:rPr>
          <w:rFonts w:eastAsia="Calibri"/>
          <w:color w:val="auto"/>
          <w:szCs w:val="24"/>
          <w:lang w:eastAsia="en-US"/>
        </w:rPr>
        <w:t xml:space="preserve"> da ordem Car</w:t>
      </w:r>
      <w:r w:rsidR="006D0BB2">
        <w:rPr>
          <w:rFonts w:eastAsia="Calibri"/>
          <w:color w:val="auto"/>
          <w:szCs w:val="24"/>
          <w:lang w:eastAsia="en-US"/>
        </w:rPr>
        <w:t xml:space="preserve">yophyllalese e do reino Plantae. </w:t>
      </w:r>
      <w:proofErr w:type="gramStart"/>
      <w:r w:rsidR="006D0BB2">
        <w:rPr>
          <w:rFonts w:eastAsia="Calibri"/>
          <w:color w:val="auto"/>
          <w:szCs w:val="24"/>
          <w:lang w:eastAsia="en-US"/>
        </w:rPr>
        <w:t>Esta família contem</w:t>
      </w:r>
      <w:proofErr w:type="gramEnd"/>
      <w:r w:rsidRPr="003516A7">
        <w:rPr>
          <w:rFonts w:eastAsia="Calibri"/>
          <w:color w:val="auto"/>
          <w:szCs w:val="24"/>
          <w:lang w:eastAsia="en-US"/>
        </w:rPr>
        <w:t xml:space="preserve"> cerca de 1500 espécies do género </w:t>
      </w:r>
      <w:r w:rsidRPr="006D0BB2">
        <w:rPr>
          <w:rFonts w:eastAsia="Calibri"/>
          <w:i/>
          <w:color w:val="auto"/>
          <w:szCs w:val="24"/>
          <w:lang w:eastAsia="en-US"/>
        </w:rPr>
        <w:t>Opuntia</w:t>
      </w:r>
      <w:r w:rsidR="006D0BB2">
        <w:rPr>
          <w:rFonts w:eastAsia="Calibri"/>
          <w:i/>
          <w:color w:val="auto"/>
          <w:szCs w:val="24"/>
          <w:lang w:eastAsia="en-US"/>
        </w:rPr>
        <w:t xml:space="preserve"> </w:t>
      </w:r>
      <w:r w:rsidR="006D0BB2">
        <w:rPr>
          <w:rFonts w:eastAsia="Calibri"/>
          <w:i/>
          <w:color w:val="auto"/>
          <w:szCs w:val="24"/>
          <w:lang w:eastAsia="en-US"/>
        </w:rPr>
        <w:fldChar w:fldCharType="begin" w:fldLock="1"/>
      </w:r>
      <w:r w:rsidR="00BC0CEB">
        <w:rPr>
          <w:rFonts w:eastAsia="Calibri"/>
          <w:i/>
          <w:color w:val="auto"/>
          <w:szCs w:val="24"/>
          <w:lang w:eastAsia="en-US"/>
        </w:rPr>
        <w:instrText>ADDIN CSL_CITATION { "citationItems" : [ { "id" : "ITEM-1",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"ITEM-1", "issued" : { "date-parts" : [ [ "2005" ] ] }, "page" : "195-200", "title" : "Biochemical and Nutritional Characterization of Three Prickly Pear Species with Different Ripening Behavior", "type" : "article-journal", "volume" : "60" }, "uris" : [ "http://www.mendeley.com/documents/?uuid=4972c03c-4152-4945-b9dc-337fbff9401a" ] } ], "mendeley" : { "formattedCitation" : "(Hernandez-P\u00e9rez, Carrillo-L\u00f3pez, Guevara-lara, Cruz-Hern\u00e1ndez, &amp; Paredes-L\u00f3pez, 2005)", "manualFormatting" : "(Hernandez-P\u00e9rez et al., 2005", "plainTextFormattedCitation" : "(Hernandez-P\u00e9rez, Carrillo-L\u00f3pez, Guevara-lara, Cruz-Hern\u00e1ndez, &amp; Paredes-L\u00f3pez, 2005)", "previouslyFormattedCitation" : "(Hernandez-P\u00e9rez, Carrillo-L\u00f3pez, Guevara-lara, Cruz-Hern\u00e1ndez, &amp; Paredes-L\u00f3pez, 2005)" }, "properties" : { "noteIndex" : 0 }, "schema" : "https://github.com/citation-style-language/schema/raw/master/csl-citation.json" }</w:instrText>
      </w:r>
      <w:r w:rsidR="006D0BB2">
        <w:rPr>
          <w:rFonts w:eastAsia="Calibri"/>
          <w:i/>
          <w:color w:val="auto"/>
          <w:szCs w:val="24"/>
          <w:lang w:eastAsia="en-US"/>
        </w:rPr>
        <w:fldChar w:fldCharType="separate"/>
      </w:r>
      <w:r w:rsidR="006D0BB2">
        <w:rPr>
          <w:rFonts w:eastAsia="Calibri"/>
          <w:noProof/>
          <w:color w:val="auto"/>
          <w:szCs w:val="24"/>
          <w:lang w:eastAsia="en-US"/>
        </w:rPr>
        <w:t>(Hernandez-Pérez et al.</w:t>
      </w:r>
      <w:r w:rsidR="006D0BB2" w:rsidRPr="006D0BB2">
        <w:rPr>
          <w:rFonts w:eastAsia="Calibri"/>
          <w:noProof/>
          <w:color w:val="auto"/>
          <w:szCs w:val="24"/>
          <w:lang w:eastAsia="en-US"/>
        </w:rPr>
        <w:t>, 2005</w:t>
      </w:r>
      <w:r w:rsidR="006D0BB2">
        <w:rPr>
          <w:rFonts w:eastAsia="Calibri"/>
          <w:i/>
          <w:color w:val="auto"/>
          <w:szCs w:val="24"/>
          <w:lang w:eastAsia="en-US"/>
        </w:rPr>
        <w:fldChar w:fldCharType="end"/>
      </w:r>
      <w:r w:rsidR="006D0BB2">
        <w:rPr>
          <w:rFonts w:eastAsia="Calibri"/>
          <w:i/>
          <w:color w:val="auto"/>
          <w:szCs w:val="24"/>
          <w:lang w:eastAsia="en-US"/>
        </w:rPr>
        <w:t>;</w:t>
      </w:r>
      <w:r w:rsidRPr="003516A7">
        <w:rPr>
          <w:rFonts w:eastAsia="Calibri"/>
          <w:color w:val="auto"/>
          <w:szCs w:val="24"/>
          <w:lang w:eastAsia="en-US"/>
        </w:rPr>
        <w:t xml:space="preserve"> </w:t>
      </w:r>
      <w:r w:rsidRPr="003516A7">
        <w:rPr>
          <w:rFonts w:eastAsia="Calibri"/>
          <w:color w:val="auto"/>
          <w:szCs w:val="24"/>
          <w:lang w:eastAsia="en-US"/>
        </w:rPr>
        <w:fldChar w:fldCharType="begin" w:fldLock="1"/>
      </w:r>
      <w:r w:rsidR="00AC44FA">
        <w:rPr>
          <w:rFonts w:eastAsia="Calibri"/>
          <w:color w:val="auto"/>
          <w:szCs w:val="24"/>
          <w:lang w:eastAsia="en-US"/>
        </w:rPr>
        <w:instrText>ADDIN CSL_CITATION { "citationItems" : [ { "id" : "ITEM-1",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"ITEM-1",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"id" : "ITEM-2", "itemData" : { "DOI" : "http://dx.doi.org/10.1614/WT-04-134", "author" : [ { "dropping-particle" : "", "family" : "DeFelice", "given" : "Michael", "non-dropping-particle" : "", "parse-names" : false, "suffix" : "" } ], "container-title" : "Weed Technology", "id" : "ITEM-2", "issue" : "3", "issued" : { "date-parts" : [ [ "2004" ] ] }, "page" : "869-877", "title" : "Prickly Pear Cactus, Opuntia spp.\u2014A Spine-Tingling Tale", "type" : "article-journal", "volume" : "18" }, "uris" : [ "http://www.mendeley.com/documents/?uuid=ad1c5dba-f3c1-42a0-9536-da266903f417" ] }, { "id" : "ITEM-3",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"ITEM-3", "issued" : { "date-parts" : [ [ "2006", "10" ] ] }, "title" : "Opuntia ficus-indica", "type" : "webpage" }, "uris" : [ "http://www.mendeley.com/documents/?uuid=5af63a90-ed6a-4e56-acad-e468c7a9dac1" ] }, { "id" : "ITEM-4",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"ITEM-4", "issued" : { "date-parts" : [ [ "2005" ] ] }, "page" : "195-200", "title" : "Biochemical and Nutritional Characterization of Three Prickly Pear Species with Different Ripening Behavior", "type" : "article-journal", "volume" : "60" }, "uris" : [ "http://www.mendeley.com/documents/?uuid=4972c03c-4152-4945-b9dc-337fbff9401a" ] }, { "id" : "ITEM-5", "itemData" : { "DOI" : "10.1023/A:1008000232406", "author" : [ { "dropping-particle" : "El", "family" : "Kossori", "given" : "Radia Lamghari", "non-dropping-particle" : "", "parse-names" : false, "suffix" : "" }, { "dropping-particle" : "", "family" : "Villaume", "given" : "Christian", "non-dropping-particle" : "", "parse-names" : false, "suffix" : "" }, { "dropping-particle" : "El", "family" : "Boustani", "given" : "Essadiq", "non-dropping-particle" : "", "parse-names" : false, "suffix" : "" }, { "dropping-particle" : "", "family" : "Sauvaire", "given" : "Yves", "non-dropping-particle" : "", "parse-names" : false, "suffix" : "" }, { "dropping-particle" : "", "family" : "M\u00e9jean", "given" : "Luc", "non-dropping-particle" : "", "parse-names" : false, "suffix" : "" } ], "container-title" : "Plant Foods for Human Nutrition", "id" : "ITEM-5", "issue" : "3", "issued" : { "date-parts" : [ [ "1998" ] ] }, "page" : "263-270", "title" : "Composition of pulp, skin and seeds of prickly pears fruit (Opuntia ficus indica sp.)", "type" : "article-journal", "volume" : "52" }, "uris" : [ "http://www.mendeley.com/documents/?uuid=473e2ab3-15f8-4ba3-b5d1-c78007d1b8d9" ] } ], "mendeley" : { "formattedCitation" : "(Ashraf, Zeinab, &amp; Sahar, 2011; DeFelice, 2004; Hernandez-P\u00e9rez et al., 2005; Kossori, Villaume, Boustani, Sauvaire, &amp; M\u00e9jean, 1998; Vil\u00e0, 2006)", "manualFormatting" : " Ashraf et al., 2011; Kossori et al., 1998; DeFelice, 2004; Vil\u00e0, 2006)", "plainTextFormattedCitation" : "(Ashraf, Zeinab, &amp; Sahar, 2011; DeFelice, 2004; Hernandez-P\u00e9rez et al., 2005; Kossori, Villaume, Boustani, Sauvaire, &amp; M\u00e9jean, 1998; Vil\u00e0, 2006)", "previouslyFormattedCitation" : "(Ashraf, Zeinab, &amp; Sahar, 2011; DeFelice, 2004; Hernandez-P\u00e9rez et al., 2005; Kossori, Villaume, Boustani, Sauvaire, &amp; M\u00e9jean, 1998; Vil\u00e0, 2006)" }, "properties" : { "noteIndex" : 0 }, "schema" : "https://github.com/citation-style-language/schema/raw/master/csl-citation.json" }</w:instrText>
      </w:r>
      <w:r w:rsidRPr="003516A7">
        <w:rPr>
          <w:rFonts w:eastAsia="Calibri"/>
          <w:color w:val="auto"/>
          <w:szCs w:val="24"/>
          <w:lang w:eastAsia="en-US"/>
        </w:rPr>
        <w:fldChar w:fldCharType="separate"/>
      </w:r>
      <w:r w:rsidR="000025A2">
        <w:rPr>
          <w:rFonts w:eastAsia="Calibri"/>
          <w:noProof/>
          <w:color w:val="auto"/>
          <w:szCs w:val="24"/>
          <w:lang w:eastAsia="en-US"/>
        </w:rPr>
        <w:t xml:space="preserve"> Ashraf et al., 2011; Kossori et al.</w:t>
      </w:r>
      <w:r w:rsidR="00AC44FA">
        <w:rPr>
          <w:rFonts w:eastAsia="Calibri"/>
          <w:noProof/>
          <w:color w:val="auto"/>
          <w:szCs w:val="24"/>
          <w:lang w:eastAsia="en-US"/>
        </w:rPr>
        <w:t xml:space="preserve">, 1998; </w:t>
      </w:r>
      <w:r w:rsidRPr="003516A7">
        <w:rPr>
          <w:rFonts w:eastAsia="Calibri"/>
          <w:noProof/>
          <w:color w:val="auto"/>
          <w:szCs w:val="24"/>
          <w:lang w:eastAsia="en-US"/>
        </w:rPr>
        <w:t>De</w:t>
      </w:r>
      <w:r w:rsidR="00474A4A">
        <w:rPr>
          <w:rFonts w:eastAsia="Calibri"/>
          <w:noProof/>
          <w:color w:val="auto"/>
          <w:szCs w:val="24"/>
          <w:lang w:eastAsia="en-US"/>
        </w:rPr>
        <w:t>Felice</w:t>
      </w:r>
      <w:r w:rsidRPr="003516A7">
        <w:rPr>
          <w:rFonts w:eastAsia="Calibri"/>
          <w:noProof/>
          <w:color w:val="auto"/>
          <w:szCs w:val="24"/>
          <w:lang w:eastAsia="en-US"/>
        </w:rPr>
        <w:t>, 2004; Vilà, 2006)</w:t>
      </w:r>
      <w:r w:rsidRPr="003516A7">
        <w:rPr>
          <w:rFonts w:eastAsia="Calibri"/>
          <w:color w:val="auto"/>
          <w:szCs w:val="24"/>
          <w:lang w:eastAsia="en-US"/>
        </w:rPr>
        <w:fldChar w:fldCharType="end"/>
      </w:r>
      <w:r w:rsidRPr="003516A7">
        <w:rPr>
          <w:rFonts w:eastAsia="Calibri"/>
          <w:color w:val="auto"/>
          <w:szCs w:val="24"/>
          <w:lang w:eastAsia="en-US"/>
        </w:rPr>
        <w:t>.</w:t>
      </w:r>
    </w:p>
    <w:p w14:paraId="7A692853" w14:textId="321FDBFA" w:rsidR="003516A7" w:rsidRPr="003516A7" w:rsidRDefault="003516A7" w:rsidP="003516A7">
      <w:pPr>
        <w:spacing w:after="160" w:line="360" w:lineRule="auto"/>
        <w:ind w:left="0" w:right="0" w:firstLine="0"/>
        <w:rPr>
          <w:rFonts w:eastAsia="Calibri"/>
          <w:color w:val="auto"/>
          <w:szCs w:val="24"/>
          <w:lang w:eastAsia="en-US"/>
        </w:rPr>
      </w:pPr>
      <w:r w:rsidRPr="003516A7">
        <w:rPr>
          <w:rFonts w:eastAsia="Calibri"/>
          <w:color w:val="auto"/>
          <w:szCs w:val="24"/>
          <w:lang w:eastAsia="en-US"/>
        </w:rPr>
        <w:t>A figueira</w:t>
      </w:r>
      <w:r w:rsidR="005E7B09">
        <w:rPr>
          <w:rFonts w:eastAsia="Calibri"/>
          <w:color w:val="auto"/>
          <w:szCs w:val="24"/>
          <w:lang w:eastAsia="en-US"/>
        </w:rPr>
        <w:t>-</w:t>
      </w:r>
      <w:r w:rsidRPr="003516A7">
        <w:rPr>
          <w:rFonts w:eastAsia="Calibri"/>
          <w:color w:val="auto"/>
          <w:szCs w:val="24"/>
          <w:lang w:eastAsia="en-US"/>
        </w:rPr>
        <w:t>da</w:t>
      </w:r>
      <w:r w:rsidR="00FF4FD4">
        <w:rPr>
          <w:rFonts w:eastAsia="Calibri"/>
          <w:color w:val="auto"/>
          <w:szCs w:val="24"/>
          <w:lang w:eastAsia="en-US"/>
        </w:rPr>
        <w:t>-</w:t>
      </w:r>
      <w:r w:rsidRPr="003516A7">
        <w:rPr>
          <w:rFonts w:eastAsia="Calibri"/>
          <w:color w:val="auto"/>
          <w:szCs w:val="24"/>
          <w:lang w:eastAsia="en-US"/>
        </w:rPr>
        <w:t xml:space="preserve">índia é um cato ramificado de porte arbustivo e frutífero que pode atingir até os 2 metros de altura </w:t>
      </w:r>
      <w:r w:rsidRPr="003516A7">
        <w:rPr>
          <w:rFonts w:eastAsia="Calibri"/>
          <w:color w:val="auto"/>
          <w:szCs w:val="24"/>
          <w:lang w:eastAsia="en-US"/>
        </w:rPr>
        <w:fldChar w:fldCharType="begin" w:fldLock="1"/>
      </w:r>
      <w:r w:rsidR="00C769BE">
        <w:rPr>
          <w:rFonts w:eastAsia="Calibri"/>
          <w:color w:val="auto"/>
          <w:szCs w:val="24"/>
          <w:lang w:eastAsia="en-US"/>
        </w:rPr>
        <w:instrText>ADDIN CSL_CITATION { "citationItems" : [ { "id" : "ITEM-1", "itemData" : { "URL" : "http://www.jardineiro.net/plantas/figueira-da-india-opuntia-ficus-indica.html", "accessed" : { "date-parts" : [ [ "2016", "2", "22" ] ] }, "author" : [ { "dropping-particle" : "", "family" : "Patro", "given" : "Raquel", "non-dropping-particle" : "", "parse-names" : false, "suffix" : "" } ], "container-title" : "Jardineiro.net", "id" : "ITEM-1", "issued" : { "date-parts" : [ [ "2013" ] ] }, "title" : "Figueira-da-\u00edndia \u2013 Opuntia ficus-indica", "type" : "webpage" }, "uris" : [ "http://www.mendeley.com/documents/?uuid=4a341336-a315-46b6-9424-d23d4eb5c8ef" ] }, { "id" : "ITEM-2",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"ITEM-2", "issued" : { "date-parts" : [ [ "2006", "10" ] ] }, "title" : "Opuntia ficus-indica", "type" : "webpage" }, "uris" : [ "http://www.mendeley.com/documents/?uuid=5af63a90-ed6a-4e56-acad-e468c7a9dac1" ] } ], "mendeley" : { "formattedCitation" : "(Patro, 2013; Vil\u00e0, 2006)", "plainTextFormattedCitation" : "(Patro, 2013; Vil\u00e0, 2006)", "previouslyFormattedCitation" : "(Patro, 2013;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(Patro, 2013; Vilà, 2006)</w:t>
      </w:r>
      <w:r w:rsidRPr="003516A7">
        <w:rPr>
          <w:rFonts w:eastAsia="Calibri"/>
          <w:color w:val="auto"/>
          <w:szCs w:val="24"/>
          <w:lang w:eastAsia="en-US"/>
        </w:rPr>
        <w:fldChar w:fldCharType="end"/>
      </w:r>
      <w:r w:rsidRPr="003516A7">
        <w:rPr>
          <w:rFonts w:eastAsia="Calibri"/>
          <w:color w:val="auto"/>
          <w:szCs w:val="24"/>
          <w:lang w:eastAsia="en-US"/>
        </w:rPr>
        <w:t>. Estas plantas são constituídas por cladódios planos, ovais e segmentados que vêm acompanhados p</w:t>
      </w:r>
      <w:r w:rsidR="00AC44FA">
        <w:rPr>
          <w:rFonts w:eastAsia="Calibri"/>
          <w:color w:val="auto"/>
          <w:szCs w:val="24"/>
          <w:lang w:eastAsia="en-US"/>
        </w:rPr>
        <w:t>or gloquídeos, como visível na F</w:t>
      </w:r>
      <w:r w:rsidRPr="003516A7">
        <w:rPr>
          <w:rFonts w:eastAsia="Calibri"/>
          <w:color w:val="auto"/>
          <w:szCs w:val="24"/>
          <w:lang w:eastAsia="en-US"/>
        </w:rPr>
        <w:t xml:space="preserve">igura 1. Estes são usados como fonte de alimento para animais e humanos uma vez que são consumidos como vegetal fresco ou adicionado a cozinhados, enlatados, em pó ou até como suplementos alimentares. É também usado na medicina tradicional mexicana para tratamentos de doenças como diabetes, reumatismo, tosse convulsa, etc. </w:t>
      </w:r>
      <w:r w:rsidRPr="003516A7">
        <w:rPr>
          <w:rFonts w:eastAsia="Calibri"/>
          <w:color w:val="auto"/>
          <w:szCs w:val="24"/>
          <w:lang w:eastAsia="en-US"/>
        </w:rPr>
        <w:fldChar w:fldCharType="begin" w:fldLock="1"/>
      </w:r>
      <w:r w:rsidR="00AC44FA">
        <w:rPr>
          <w:rFonts w:eastAsia="Calibri"/>
          <w:color w:val="auto"/>
          <w:szCs w:val="24"/>
          <w:lang w:eastAsia="en-US"/>
        </w:rPr>
        <w:instrText>ADDIN CSL_CITATION { "citationItems" : [ { "id" : "ITEM-1",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"ITEM-1",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"id" : "ITEM-2", "itemData" : { "DOI" : "http://dx.doi.org/10.1614/WT-04-134", "author" : [ { "dropping-particle" : "", "family" : "DeFelice", "given" : "Michael", "non-dropping-particle" : "", "parse-names" : false, "suffix" : "" } ], "container-title" : "Weed Technology", "id" : "ITEM-2", "issue" : "3", "issued" : { "date-parts" : [ [ "2004" ] ] }, "page" : "869-877", "title" : "Prickly Pear Cactus, Opuntia spp.\u2014A Spine-Tingling Tale", "type" : "article-journal", "volume" : "18" }, "uris" : [ "http://www.mendeley.com/documents/?uuid=ad1c5dba-f3c1-42a0-9536-da266903f417" ] }, { "id" : "ITEM-3", "itemData" : { "DOI" : "10.1023/A:1008000232406", "author" : [ { "dropping-particle" : "El", "family" : "Kossori", "given" : "Radia Lamghari", "non-dropping-particle" : "", "parse-names" : false, "suffix" : "" }, { "dropping-particle" : "", "family" : "Villaume", "given" : "Christian", "non-dropping-particle" : "", "parse-names" : false, "suffix" : "" }, { "dropping-particle" : "El", "family" : "Boustani", "given" : "Essadiq", "non-dropping-particle" : "", "parse-names" : false, "suffix" : "" }, { "dropping-particle" : "", "family" : "Sauvaire", "given" : "Yves", "non-dropping-particle" : "", "parse-names" : false, "suffix" : "" }, { "dropping-particle" : "", "family" : "M\u00e9jean", "given" : "Luc", "non-dropping-particle" : "", "parse-names" : false, "suffix" : "" } ], "container-title" : "Plant Foods for Human Nutrition", "id" : "ITEM-3", "issue" : "3", "issued" : { "date-parts" : [ [ "1998" ] ] }, "page" : "263-270", "title" : "Composition of pulp, skin and seeds of prickly pears fruit (Opuntia ficus indica sp.)", "type" : "article-journal", "volume" : "52" }, "uris" : [ "http://www.mendeley.com/documents/?uuid=473e2ab3-15f8-4ba3-b5d1-c78007d1b8d9" ] }, { "id" : "ITEM-4", "itemData" : { "URL" : "http://www.agronegocios.eu/noticias/a-figueira-da-india/", "accessed" : { "date-parts" : [ [ "2016", "1", "25" ] ] }, "author" : [ { "dropping-particle" : "", "family" : "Alves", "given" : "Jos\u00e9 Carlos Ramalhinho", "non-dropping-particle" : "", "parse-names" : false, "suffix" : "" }, { "dropping-particle" : "", "family" : "Mota", "given" : "Mariana Oliveira", "non-dropping-particle" : "", "parse-names" : false, "suffix" : "" }, { "dropping-particle" : "", "family" : "M.", "given" : "Cristina", "non-dropping-particle" : "", "parse-names" : false, "suffix" : "" } ], "container-title" : "AgroNeg\u00f3cios.eu", "id" : "ITEM-4", "issued" : { "date-parts" : [ [ "2014" ] ] }, "title" : "A figueira-da-\u00edndia", "type" : "webpage" }, "uris" : [ "http://www.mendeley.com/documents/?uuid=4b806a42-4b12-44cb-bb2a-4929ade5d4eb" ] }, { "id" : "ITEM-5", "itemData" : { "URL" : "http://www.jardineiro.net/plantas/figueira-da-india-opuntia-ficus-indica.html", "accessed" : { "date-parts" : [ [ "2016", "2", "22" ] ] }, "author" : [ { "dropping-particle" : "", "family" : "Patro", "given" : "Raquel", "non-dropping-particle" : "", "parse-names" : false, "suffix" : "" } ], "container-title" : "Jardineiro.net", "id" : "ITEM-5", "issued" : { "date-parts" : [ [ "2013" ] ] }, "title" : "Figueira-da-\u00edndia \u2013 Opuntia ficus-indica", "type" : "webpage" }, "uris" : [ "http://www.mendeley.com/documents/?uuid=4a341336-a315-46b6-9424-d23d4eb5c8ef" ] } ], "mendeley" : { "formattedCitation" : "(J. C. R. Alves, Mota, &amp; M., 2014; Ashraf et al., 2011; DeFelice, 2004; Kossori et al., 1998; Patro, 2013)", "manualFormatting" : "(Alves\u202f et al., 2014; Ashraf et al., 2011; Kossori et al., 1998; Patro, 2013; DeFelice, 2004)", "plainTextFormattedCitation" : "(J. C. R. Alves, Mota, &amp; M., 2014; Ashraf et al., 2011; DeFelice, 2004; Kossori et al., 1998; Patro, 2013)", "previouslyFormattedCitation" : "(J. C. R. Alves, Mota, &amp; M., 2014; Ashraf et al., 2011; DeFelice, 2004; Kossori et al., 1998; Patro, 2013)" }, "properties" : { "noteIndex" : 0 }, "schema" : "https://github.com/citation-style-language/schema/raw/master/csl-citation.json" }</w:instrText>
      </w:r>
      <w:r w:rsidRPr="003516A7">
        <w:rPr>
          <w:rFonts w:eastAsia="Calibri"/>
          <w:color w:val="auto"/>
          <w:szCs w:val="24"/>
          <w:lang w:eastAsia="en-US"/>
        </w:rPr>
        <w:fldChar w:fldCharType="separate"/>
      </w:r>
      <w:r w:rsidR="00AC44FA">
        <w:rPr>
          <w:rFonts w:eastAsia="Calibri"/>
          <w:noProof/>
          <w:color w:val="auto"/>
          <w:szCs w:val="24"/>
          <w:lang w:eastAsia="en-US"/>
        </w:rPr>
        <w:t>(Alves</w:t>
      </w:r>
      <w:r w:rsidR="00797352">
        <w:rPr>
          <w:rFonts w:eastAsia="Calibri"/>
          <w:noProof/>
          <w:color w:val="auto"/>
          <w:szCs w:val="24"/>
          <w:lang w:eastAsia="en-US"/>
        </w:rPr>
        <w:t> </w:t>
      </w:r>
      <w:r w:rsidR="000025A2">
        <w:rPr>
          <w:rFonts w:eastAsia="Calibri"/>
          <w:noProof/>
          <w:color w:val="auto"/>
          <w:szCs w:val="24"/>
          <w:lang w:eastAsia="en-US"/>
        </w:rPr>
        <w:t xml:space="preserve"> et al.,</w:t>
      </w:r>
      <w:r w:rsidRPr="003516A7">
        <w:rPr>
          <w:rFonts w:eastAsia="Calibri"/>
          <w:noProof/>
          <w:color w:val="auto"/>
          <w:szCs w:val="24"/>
          <w:lang w:eastAsia="en-US"/>
        </w:rPr>
        <w:t xml:space="preserve"> 2014; Ashraf et al., 2011; Kosso</w:t>
      </w:r>
      <w:r w:rsidR="00AC44FA">
        <w:rPr>
          <w:rFonts w:eastAsia="Calibri"/>
          <w:noProof/>
          <w:color w:val="auto"/>
          <w:szCs w:val="24"/>
          <w:lang w:eastAsia="en-US"/>
        </w:rPr>
        <w:t>ri et al., 1998; Patro, 2013;</w:t>
      </w:r>
      <w:r w:rsidRPr="003516A7">
        <w:rPr>
          <w:rFonts w:eastAsia="Calibri"/>
          <w:noProof/>
          <w:color w:val="auto"/>
          <w:szCs w:val="24"/>
          <w:lang w:eastAsia="en-US"/>
        </w:rPr>
        <w:t xml:space="preserve"> DeF</w:t>
      </w:r>
      <w:r w:rsidR="00817173">
        <w:rPr>
          <w:rFonts w:eastAsia="Calibri"/>
          <w:noProof/>
          <w:color w:val="auto"/>
          <w:szCs w:val="24"/>
          <w:lang w:eastAsia="en-US"/>
        </w:rPr>
        <w:t>elice</w:t>
      </w:r>
      <w:r w:rsidRPr="003516A7">
        <w:rPr>
          <w:rFonts w:eastAsia="Calibri"/>
          <w:noProof/>
          <w:color w:val="auto"/>
          <w:szCs w:val="24"/>
          <w:lang w:eastAsia="en-US"/>
        </w:rPr>
        <w:t>, 2004)</w:t>
      </w:r>
      <w:r w:rsidRPr="003516A7">
        <w:rPr>
          <w:rFonts w:eastAsia="Calibri"/>
          <w:color w:val="auto"/>
          <w:szCs w:val="24"/>
          <w:lang w:eastAsia="en-US"/>
        </w:rPr>
        <w:fldChar w:fldCharType="end"/>
      </w:r>
      <w:r w:rsidRPr="003516A7">
        <w:rPr>
          <w:rFonts w:eastAsia="Calibri"/>
          <w:color w:val="auto"/>
          <w:szCs w:val="24"/>
          <w:lang w:eastAsia="en-US"/>
        </w:rPr>
        <w:t xml:space="preserve">. Pode ser também plantado como ornamental para construção de cercas de proteção contra o vento </w:t>
      </w:r>
      <w:r w:rsidRPr="003516A7">
        <w:rPr>
          <w:rFonts w:eastAsia="Calibri"/>
          <w:color w:val="auto"/>
          <w:szCs w:val="24"/>
          <w:lang w:eastAsia="en-US"/>
        </w:rPr>
        <w:fldChar w:fldCharType="begin" w:fldLock="1"/>
      </w:r>
      <w:r w:rsidR="00C769BE">
        <w:rPr>
          <w:rFonts w:eastAsia="Calibri"/>
          <w:color w:val="auto"/>
          <w:szCs w:val="24"/>
          <w:lang w:eastAsia="en-US"/>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"mendeley" : { "formattedCitation" : "(Vil\u00e0, 2006)", "plainTextFormattedCitation" : "(Vil\u00e0, 2006)", "previouslyFormattedCitation" :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(Vilà, 2006)</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2F3D0372" w14:textId="4542604C" w:rsidR="003516A7" w:rsidRPr="003516A7" w:rsidRDefault="003516A7" w:rsidP="003516A7">
      <w:pPr>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As suas flores têm 5 ou 6 cm de diâmetro e diversas cores como branco, laranja, vermelho ou amarelo. A sua importância concebe às abelhas o néctar que podem extrair durante a Primavera e Outono </w:t>
      </w:r>
      <w:r w:rsidRPr="003516A7">
        <w:rPr>
          <w:rFonts w:eastAsia="Calibri"/>
          <w:color w:val="auto"/>
          <w:szCs w:val="24"/>
          <w:lang w:eastAsia="en-US"/>
        </w:rPr>
        <w:fldChar w:fldCharType="begin" w:fldLock="1"/>
      </w:r>
      <w:r w:rsidR="00AC44FA">
        <w:rPr>
          <w:rFonts w:eastAsia="Calibri"/>
          <w:color w:val="auto"/>
          <w:szCs w:val="24"/>
          <w:lang w:eastAsia="en-US"/>
        </w:rPr>
        <w:instrText>ADDIN CSL_CITATION { "citationItems" : [ { "id" : "ITEM-1", "itemData" : { "URL" : "http://www.agronegocios.eu/noticias/a-figueira-da-india/", "accessed" : { "date-parts" : [ [ "2016", "1", "25" ] ] }, "author" : [ { "dropping-particle" : "", "family" : "Alves", "given" : "Jos\u00e9 Carlos Ramalhinho", "non-dropping-particle" : "", "parse-names" : false, "suffix" : "" }, { "dropping-particle" : "", "family" : "Mota", "given" : "Mariana Oliveira", "non-dropping-particle" : "", "parse-names" : false, "suffix" : "" }, { "dropping-particle" : "", "family" : "M.", "given" : "Cristina", "non-dropping-particle" : "", "parse-names" : false, "suffix" : "" } ], "container-title" : "AgroNeg\u00f3cios.eu", "id" : "ITEM-1", "issued" : { "date-parts" : [ [ "2014" ] ] }, "title" : "A figueira-da-\u00edndia", "type" : "webpage" }, "uris" : [ "http://www.mendeley.com/documents/?uuid=4b806a42-4b12-44cb-bb2a-4929ade5d4eb" ] }, { "id" : "ITEM-2",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"ITEM-2", "issued" : { "date-parts" : [ [ "2006", "10" ] ] }, "title" : "Opuntia ficus-indica", "type" : "webpage" }, "uris" : [ "http://www.mendeley.com/documents/?uuid=5af63a90-ed6a-4e56-acad-e468c7a9dac1" ] }, { "id" : "ITEM-3", "itemData" : { "URL" : "http://www.jardineiro.net/plantas/figueira-da-india-opuntia-ficus-indica.html", "accessed" : { "date-parts" : [ [ "2016", "2", "22" ] ] }, "author" : [ { "dropping-particle" : "", "family" : "Patro", "given" : "Raquel", "non-dropping-particle" : "", "parse-names" : false, "suffix" : "" } ], "container-title" : "Jardineiro.net", "id" : "ITEM-3", "issued" : { "date-parts" : [ [ "2013" ] ] }, "title" : "Figueira-da-\u00edndia \u2013 Opuntia ficus-indica", "type" : "webpage" }, "uris" : [ "http://www.mendeley.com/documents/?uuid=4a341336-a315-46b6-9424-d23d4eb5c8ef" ] } ], "mendeley" : { "formattedCitation" : "(J. C. R. Alves et al., 2014; Patro, 2013; Vil\u00e0, 2006)", "manualFormatting" : "(Alves et al., 2014; Patro, 2013; Vil\u00e0, 2006)", "plainTextFormattedCitation" : "(J. C. R. Alves et al., 2014; Patro, 2013; Vil\u00e0, 2006)", "previouslyFormattedCitation" : "(J. C. R. Alves et al., 2014; Patro, 2013; Vil\u00e0, 2006)" }, "properties" : { "noteIndex" : 0 }, "schema" : "https://github.com/citation-style-language/schema/raw/master/csl-citation.json" }</w:instrText>
      </w:r>
      <w:r w:rsidRPr="003516A7">
        <w:rPr>
          <w:rFonts w:eastAsia="Calibri"/>
          <w:color w:val="auto"/>
          <w:szCs w:val="24"/>
          <w:lang w:eastAsia="en-US"/>
        </w:rPr>
        <w:fldChar w:fldCharType="separate"/>
      </w:r>
      <w:r w:rsidR="00AC44FA">
        <w:rPr>
          <w:rFonts w:eastAsia="Calibri"/>
          <w:noProof/>
          <w:color w:val="auto"/>
          <w:szCs w:val="24"/>
          <w:lang w:eastAsia="en-US"/>
        </w:rPr>
        <w:t>(Alves</w:t>
      </w:r>
      <w:r w:rsidR="00154A19">
        <w:rPr>
          <w:rFonts w:eastAsia="Calibri"/>
          <w:noProof/>
          <w:color w:val="auto"/>
          <w:szCs w:val="24"/>
          <w:lang w:eastAsia="en-US"/>
        </w:rPr>
        <w:t xml:space="preserve"> </w:t>
      </w:r>
      <w:r w:rsidR="00500085">
        <w:rPr>
          <w:rFonts w:eastAsia="Calibri"/>
          <w:noProof/>
          <w:color w:val="auto"/>
          <w:szCs w:val="24"/>
          <w:lang w:eastAsia="en-US"/>
        </w:rPr>
        <w:t>et al.</w:t>
      </w:r>
      <w:r w:rsidRPr="003516A7">
        <w:rPr>
          <w:rFonts w:eastAsia="Calibri"/>
          <w:noProof/>
          <w:color w:val="auto"/>
          <w:szCs w:val="24"/>
          <w:lang w:eastAsia="en-US"/>
        </w:rPr>
        <w:t>, 2014; Patro, 2013; Vilà, 2006)</w:t>
      </w:r>
      <w:r w:rsidRPr="003516A7">
        <w:rPr>
          <w:rFonts w:eastAsia="Calibri"/>
          <w:color w:val="auto"/>
          <w:szCs w:val="24"/>
          <w:lang w:eastAsia="en-US"/>
        </w:rPr>
        <w:fldChar w:fldCharType="end"/>
      </w:r>
      <w:r w:rsidRPr="003516A7">
        <w:rPr>
          <w:rFonts w:eastAsia="Calibri"/>
          <w:color w:val="auto"/>
          <w:szCs w:val="24"/>
          <w:lang w:eastAsia="en-US"/>
        </w:rPr>
        <w:t xml:space="preserve">. Pode ser usada também depois de seca para produção de infusão com propriedades ao combate de problemas de próstata </w:t>
      </w:r>
      <w:r w:rsidRPr="003516A7">
        <w:rPr>
          <w:rFonts w:eastAsia="Calibri"/>
          <w:color w:val="auto"/>
          <w:szCs w:val="24"/>
          <w:lang w:eastAsia="en-US"/>
        </w:rPr>
        <w:fldChar w:fldCharType="begin" w:fldLock="1"/>
      </w:r>
      <w:r w:rsidR="00310D60">
        <w:rPr>
          <w:rFonts w:eastAsia="Calibri"/>
          <w:color w:val="auto"/>
          <w:szCs w:val="24"/>
          <w:lang w:eastAsia="en-US"/>
        </w:rPr>
        <w:instrText>ADDIN CSL_CITATION { "citationItems" : [ { "id" : "ITEM-1", "itemData" : { "URL" : "http://www.agronegocios.eu/noticias/a-figueira-da-india/", "accessed" : { "date-parts" : [ [ "2016", "1", "25" ] ] }, "author" : [ { "dropping-particle" : "", "family" : "Alves", "given" : "Jos\u00e9 Carlos Ramalhinho", "non-dropping-particle" : "", "parse-names" : false, "suffix" : "" }, { "dropping-particle" : "", "family" : "Mota", "given" : "Mariana Oliveira", "non-dropping-particle" : "", "parse-names" : false, "suffix" : "" }, { "dropping-particle" : "", "family" : "M.", "given" : "Cristina", "non-dropping-particle" : "", "parse-names" : false, "suffix" : "" } ], "container-title" : "AgroNeg\u00f3cios.eu", "id" : "ITEM-1", "issued" : { "date-parts" : [ [ "2014" ] ] }, "title" : "A figueira-da-\u00edndia", "type" : "webpage" }, "uris" : [ "http://www.mendeley.com/documents/?uuid=4b806a42-4b12-44cb-bb2a-4929ade5d4eb" ] } ], "mendeley" : { "formattedCitation" : "(J. C. R. Alves et al., 2014)", "manualFormatting" : "(Alves \u202fet al., 2014)", "plainTextFormattedCitation" : "(J. C. R. Alves et al., 2014)", "previouslyFormattedCitation" : "(J. C. R. Alves et al., 2014)" }, "properties" : { "noteIndex" : 0 }, "schema" : "https://github.com/citation-style-language/schema/raw/master/csl-citation.json" }</w:instrText>
      </w:r>
      <w:r w:rsidRPr="003516A7">
        <w:rPr>
          <w:rFonts w:eastAsia="Calibri"/>
          <w:color w:val="auto"/>
          <w:szCs w:val="24"/>
          <w:lang w:eastAsia="en-US"/>
        </w:rPr>
        <w:fldChar w:fldCharType="separate"/>
      </w:r>
      <w:r w:rsidR="00E16B03">
        <w:rPr>
          <w:rFonts w:eastAsia="Calibri"/>
          <w:noProof/>
          <w:color w:val="auto"/>
          <w:szCs w:val="24"/>
          <w:lang w:eastAsia="en-US"/>
        </w:rPr>
        <w:t xml:space="preserve">(Alves </w:t>
      </w:r>
      <w:r w:rsidR="00154A19">
        <w:rPr>
          <w:rFonts w:eastAsia="Calibri"/>
          <w:noProof/>
          <w:color w:val="auto"/>
          <w:szCs w:val="24"/>
          <w:lang w:eastAsia="en-US"/>
        </w:rPr>
        <w:t> </w:t>
      </w:r>
      <w:r w:rsidR="00500085">
        <w:rPr>
          <w:rFonts w:eastAsia="Calibri"/>
          <w:noProof/>
          <w:color w:val="auto"/>
          <w:szCs w:val="24"/>
          <w:lang w:eastAsia="en-US"/>
        </w:rPr>
        <w:t>et al.</w:t>
      </w:r>
      <w:r w:rsidRPr="003516A7">
        <w:rPr>
          <w:rFonts w:eastAsia="Calibri"/>
          <w:noProof/>
          <w:color w:val="auto"/>
          <w:szCs w:val="24"/>
          <w:lang w:eastAsia="en-US"/>
        </w:rPr>
        <w:t>, 2014)</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52B9F9AA" w14:textId="773C9842" w:rsidR="003516A7" w:rsidRPr="003516A7" w:rsidRDefault="003516A7" w:rsidP="003516A7">
      <w:pPr>
        <w:spacing w:after="160" w:line="360" w:lineRule="auto"/>
        <w:ind w:left="0" w:right="0" w:firstLine="0"/>
      </w:pPr>
      <w:r w:rsidRPr="003516A7">
        <w:rPr>
          <w:rFonts w:eastAsia="Calibri"/>
          <w:color w:val="auto"/>
          <w:szCs w:val="24"/>
          <w:lang w:eastAsia="en-US"/>
        </w:rPr>
        <w:t xml:space="preserve">A fruta (figo-da-índia) é uma baga com pericarpo espesso e coberto de gloquídeos, no seu interior podemos encontrar polpa edível e sementes </w:t>
      </w:r>
      <w:r w:rsidRPr="003516A7">
        <w:rPr>
          <w:rFonts w:eastAsia="Calibri"/>
          <w:color w:val="auto"/>
          <w:szCs w:val="24"/>
          <w:lang w:eastAsia="en-US"/>
        </w:rPr>
        <w:fldChar w:fldCharType="begin" w:fldLock="1"/>
      </w:r>
      <w:r w:rsidR="00BC0CEB">
        <w:rPr>
          <w:rFonts w:eastAsia="Calibri"/>
          <w:color w:val="auto"/>
          <w:szCs w:val="24"/>
          <w:lang w:eastAsia="en-US"/>
        </w:rPr>
        <w:instrText>ADDIN CSL_CITATION { "citationItems" : [ { "id" : "ITEM-1",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"ITEM-1", "issued" : { "date-parts" : [ [ "2005" ] ] }, "page" : "195-200", "title" : "Biochemical and Nutritional Characterization of Three Prickly Pear Species with Different Ripening Behavior", "type" : "article-journal", "volume" : "60" }, "uris" : [ "http://www.mendeley.com/documents/?uuid=4972c03c-4152-4945-b9dc-337fbff9401a" ] }, { "id" : "ITEM-2", "itemData" : { "URL" : "http://www.jardineiro.net/plantas/figueira-da-india-opuntia-ficus-indica.html", "accessed" : { "date-parts" : [ [ "2016", "2", "22" ] ] }, "author" : [ { "dropping-particle" : "", "family" : "Patro", "given" : "Raquel", "non-dropping-particle" : "", "parse-names" : false, "suffix" : "" } ], "container-title" : "Jardineiro.net", "id" : "ITEM-2", "issued" : { "date-parts" : [ [ "2013" ] ] }, "title" : "Figueira-da-\u00edndia \u2013 Opuntia ficus-indica", "type" : "webpage" }, "uris" : [ "http://www.mendeley.com/documents/?uuid=4a341336-a315-46b6-9424-d23d4eb5c8ef" ] }, { "id" : "ITEM-3",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"ITEM-3",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"mendeley" : { "formattedCitation" : "(Ashraf et al., 2011; Hernandez-P\u00e9rez et al., 2005; Patro, 2013)", "plainTextFormattedCitation" : "(Ashraf et al., 2011; Hernandez-P\u00e9rez et al., 2005; Patro, 2013)", "previouslyFormattedCitation" : "(Ashraf et al., 2011; Hernandez-P\u00e9rez et al., 2005; Patro, 2013)" }, "properties" : { "noteIndex" : 0 }, "schema" : "https://github.com/citation-style-language/schema/raw/master/csl-citation.json" }</w:instrText>
      </w:r>
      <w:r w:rsidRPr="003516A7">
        <w:rPr>
          <w:rFonts w:eastAsia="Calibri"/>
          <w:color w:val="auto"/>
          <w:szCs w:val="24"/>
          <w:lang w:eastAsia="en-US"/>
        </w:rPr>
        <w:fldChar w:fldCharType="separate"/>
      </w:r>
      <w:r w:rsidR="006D0BB2" w:rsidRPr="006D0BB2">
        <w:rPr>
          <w:rFonts w:eastAsia="Calibri"/>
          <w:noProof/>
          <w:color w:val="auto"/>
          <w:szCs w:val="24"/>
          <w:lang w:eastAsia="en-US"/>
        </w:rPr>
        <w:t>(Ashraf et al., 2011; Hernandez-Pérez et al., 2005; Patro, 2013)</w:t>
      </w:r>
      <w:r w:rsidRPr="003516A7">
        <w:rPr>
          <w:rFonts w:eastAsia="Calibri"/>
          <w:color w:val="auto"/>
          <w:szCs w:val="24"/>
          <w:lang w:eastAsia="en-US"/>
        </w:rPr>
        <w:fldChar w:fldCharType="end"/>
      </w:r>
      <w:r w:rsidRPr="003516A7">
        <w:rPr>
          <w:rFonts w:eastAsia="Calibri"/>
          <w:color w:val="auto"/>
          <w:szCs w:val="24"/>
          <w:lang w:eastAsia="en-US"/>
        </w:rPr>
        <w:t xml:space="preserve">. Este fruto contém 12% a 15% de </w:t>
      </w:r>
      <w:r w:rsidR="000E1A1D" w:rsidRPr="003516A7">
        <w:rPr>
          <w:rFonts w:eastAsia="Calibri"/>
          <w:color w:val="auto"/>
          <w:szCs w:val="24"/>
          <w:lang w:eastAsia="en-US"/>
        </w:rPr>
        <w:t>açúcares</w:t>
      </w:r>
      <w:r w:rsidRPr="003516A7">
        <w:rPr>
          <w:rFonts w:eastAsia="Calibri"/>
          <w:color w:val="auto"/>
          <w:szCs w:val="24"/>
          <w:lang w:eastAsia="en-US"/>
        </w:rPr>
        <w:t>, 0,6% de proteínas, 0,1% de lípidos e minerais, sendo a sua polpa maioritari</w:t>
      </w:r>
      <w:r w:rsidR="00324BEC">
        <w:rPr>
          <w:rFonts w:eastAsia="Calibri"/>
          <w:color w:val="auto"/>
          <w:szCs w:val="24"/>
          <w:lang w:eastAsia="en-US"/>
        </w:rPr>
        <w:t xml:space="preserve">amente rica em glucose, frutose </w:t>
      </w:r>
      <w:r w:rsidRPr="003516A7">
        <w:rPr>
          <w:rFonts w:eastAsia="Calibri"/>
          <w:color w:val="auto"/>
          <w:szCs w:val="24"/>
          <w:lang w:eastAsia="en-US"/>
        </w:rPr>
        <w:t xml:space="preserve">e pectina e a sua pele rica em celulose, cálcio e potássio </w:t>
      </w:r>
      <w:r w:rsidRPr="003516A7">
        <w:rPr>
          <w:rFonts w:eastAsia="Calibri"/>
          <w:color w:val="auto"/>
          <w:szCs w:val="24"/>
          <w:lang w:eastAsia="en-US"/>
        </w:rPr>
        <w:fldChar w:fldCharType="begin" w:fldLock="1"/>
      </w:r>
      <w:r w:rsidR="00BC0CEB">
        <w:rPr>
          <w:rFonts w:eastAsia="Calibri"/>
          <w:color w:val="auto"/>
          <w:szCs w:val="24"/>
          <w:lang w:eastAsia="en-US"/>
        </w:rPr>
        <w:instrText>ADDIN CSL_CITATION { "citationItems" : [ { "id" : "ITEM-1",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"ITEM-1", "issued" : { "date-parts" : [ [ "2005" ] ] }, "page" : "195-200", "title" : "Biochemical and Nutritional Characterization of Three Prickly Pear Species with Different Ripening Behavior", "type" : "article-journal", "volume" : "60" }, "uris" : [ "http://www.mendeley.com/documents/?uuid=4972c03c-4152-4945-b9dc-337fbff9401a" ] } ], "mendeley" : { "formattedCitation" : "(Hernandez-P\u00e9rez et al., 2005)", "plainTextFormattedCitation" : "(Hernandez-P\u00e9rez et al., 2005)", "previouslyFormattedCitation" : "(Hernandez-P\u00e9rez et al., 2005)" }, "properties" : { "noteIndex" : 0 }, "schema" : "https://github.com/citation-style-language/schema/raw/master/csl-citation.json" }</w:instrText>
      </w:r>
      <w:r w:rsidRPr="003516A7">
        <w:rPr>
          <w:rFonts w:eastAsia="Calibri"/>
          <w:color w:val="auto"/>
          <w:szCs w:val="24"/>
          <w:lang w:eastAsia="en-US"/>
        </w:rPr>
        <w:fldChar w:fldCharType="separate"/>
      </w:r>
      <w:r w:rsidR="006D0BB2" w:rsidRPr="006D0BB2">
        <w:rPr>
          <w:rFonts w:eastAsia="Calibri"/>
          <w:noProof/>
          <w:color w:val="auto"/>
          <w:szCs w:val="24"/>
          <w:lang w:eastAsia="en-US"/>
        </w:rPr>
        <w:t>(Hernandez-Pérez et al., 2005)</w:t>
      </w:r>
      <w:r w:rsidRPr="003516A7">
        <w:rPr>
          <w:rFonts w:eastAsia="Calibri"/>
          <w:color w:val="auto"/>
          <w:szCs w:val="24"/>
          <w:lang w:eastAsia="en-US"/>
        </w:rPr>
        <w:fldChar w:fldCharType="end"/>
      </w:r>
      <w:r w:rsidRPr="003516A7">
        <w:rPr>
          <w:rFonts w:eastAsia="Calibri"/>
          <w:color w:val="auto"/>
          <w:szCs w:val="24"/>
          <w:lang w:eastAsia="en-US"/>
        </w:rPr>
        <w:t xml:space="preserve">. </w:t>
      </w:r>
      <w:r w:rsidRPr="003516A7">
        <w:rPr>
          <w:szCs w:val="24"/>
        </w:rPr>
        <w:t>Apresenta uma grande variedade de cor consoante a sua cultivar</w:t>
      </w:r>
      <w:r w:rsidRPr="003516A7">
        <w:t xml:space="preserve"> </w:t>
      </w:r>
      <w:r w:rsidRPr="003516A7">
        <w:fldChar w:fldCharType="begin" w:fldLock="1"/>
      </w:r>
      <w:r w:rsidR="00BC0CEB">
        <w:instrText>ADDIN CSL_CITATION { "citationItems" : [ { "id" : "ITEM-1",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"ITEM-1", "issued" : { "date-parts" : [ [ "2005" ] ] }, "page" : "195-200", "title" : "Biochemical and Nutritional Characterization of Three Prickly Pear Species with Different Ripening Behavior", "type" : "article-journal", "volume" : "60" }, "uris" : [ "http://www.mendeley.com/documents/?uuid=4972c03c-4152-4945-b9dc-337fbff9401a" ] }, { "id" : "ITEM-2", "itemData" : { "URL" : "http://www.jardineiro.net/plantas/figueira-da-india-opuntia-ficus-indica.html", "accessed" : { "date-parts" : [ [ "2016", "2", "22" ] ] }, "author" : [ { "dropping-particle" : "", "family" : "Patro", "given" : "Raquel", "non-dropping-particle" : "", "parse-names" : false, "suffix" : "" } ], "container-title" : "Jardineiro.net", "id" : "ITEM-2", "issued" : { "date-parts" : [ [ "2013" ] ] }, "title" : "Figueira-da-\u00edndia \u2013 Opuntia ficus-indica", "type" : "webpage" }, "uris" : [ "http://www.mendeley.com/documents/?uuid=4a341336-a315-46b6-9424-d23d4eb5c8ef" ] } ], "mendeley" : { "formattedCitation" : "(Hernandez-P\u00e9rez et al., 2005; Patro, 2013)", "plainTextFormattedCitation" : "(Hernandez-P\u00e9rez et al., 2005; Patro, 2013)", "previouslyFormattedCitation" : "(Hernandez-P\u00e9rez et al., 2005; Patro, 2013)" }, "properties" : { "noteIndex" : 0 }, "schema" : "https://github.com/citation-style-language/schema/raw/master/csl-citation.json" }</w:instrText>
      </w:r>
      <w:r w:rsidRPr="003516A7">
        <w:fldChar w:fldCharType="separate"/>
      </w:r>
      <w:r w:rsidR="006D0BB2" w:rsidRPr="006D0BB2">
        <w:rPr>
          <w:noProof/>
        </w:rPr>
        <w:t>(Hernandez-Pérez et al., 2005; Patro, 2013)</w:t>
      </w:r>
      <w:r w:rsidRPr="003516A7">
        <w:fldChar w:fldCharType="end"/>
      </w:r>
      <w:r w:rsidRPr="003516A7">
        <w:t>. Estes frutos podem ser colhidos e usados como alimentos (fruta, compota, saladas e bebidas),</w:t>
      </w:r>
      <w:r>
        <w:t xml:space="preserve"> </w:t>
      </w:r>
      <w:r w:rsidRPr="003516A7">
        <w:t xml:space="preserve">alimentação a bovinos, ovinos e </w:t>
      </w:r>
      <w:r w:rsidRPr="003516A7">
        <w:lastRenderedPageBreak/>
        <w:t xml:space="preserve">cabras, medicamentos (agentes antidiabéticos) e em produtos industriais (álcool, sabão, pigmentos, proteínas e óleos) </w:t>
      </w:r>
      <w:r w:rsidRPr="003516A7">
        <w:fldChar w:fldCharType="begin" w:fldLock="1"/>
      </w:r>
      <w:r w:rsidR="00BC0CEB">
        <w:instrText>ADDIN CSL_CITATION { "citationItems" : [ { "id" : "ITEM-1", "itemData" : { "DOI" : "10.1007/s11130-005-8618-y", "author" : [ { "dropping-particle" : "", "family" : "Hernandez-P\u00e9rez", "given" : "Talia", "non-dropping-particle" : "", "parse-names" : false, "suffix" : "" }, { "dropping-particle" : "", "family" : "Carrillo-L\u00f3pez", "given" : "Armando", "non-dropping-particle" : "", "parse-names" : false, "suffix" : "" }, { "dropping-particle" : "", "family" : "Guevara-lara", "given" : "Fidel", "non-dropping-particle" : "", "parse-names" : false, "suffix" : "" }, { "dropping-particle" : "", "family" : "Cruz-Hern\u00e1ndez", "given" : "Andr\u00e9s", "non-dropping-particle" : "", "parse-names" : false, "suffix" : "" }, { "dropping-particle" : "", "family" : "Paredes-L\u00f3pez", "given" : "Octavio", "non-dropping-particle" : "", "parse-names" : false, "suffix" : "" } ], "container-title" : "Plant Foods for Human Nutrition", "id" : "ITEM-1", "issued" : { "date-parts" : [ [ "2005" ] ] }, "page" : "195-200", "title" : "Biochemical and Nutritional Characterization of Three Prickly Pear Species with Different Ripening Behavior", "type" : "article-journal", "volume" : "60" }, "uris" : [ "http://www.mendeley.com/documents/?uuid=4972c03c-4152-4945-b9dc-337fbff9401a" ] }, { "id" : "ITEM-2",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"ITEM-2",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"mendeley" : { "formattedCitation" : "(Ashraf et al., 2011; Hernandez-P\u00e9rez et al., 2005)", "plainTextFormattedCitation" : "(Ashraf et al., 2011; Hernandez-P\u00e9rez et al., 2005)", "previouslyFormattedCitation" : "(Ashraf et al., 2011; Hernandez-P\u00e9rez et al., 2005)" }, "properties" : { "noteIndex" : 0 }, "schema" : "https://github.com/citation-style-language/schema/raw/master/csl-citation.json" }</w:instrText>
      </w:r>
      <w:r w:rsidRPr="003516A7">
        <w:fldChar w:fldCharType="separate"/>
      </w:r>
      <w:r w:rsidR="006D0BB2" w:rsidRPr="006D0BB2">
        <w:rPr>
          <w:noProof/>
        </w:rPr>
        <w:t>(Ashraf et al., 2011; Hernandez-Pérez et al., 2005)</w:t>
      </w:r>
      <w:r w:rsidRPr="003516A7">
        <w:fldChar w:fldCharType="end"/>
      </w:r>
      <w:r w:rsidRPr="003516A7">
        <w:t xml:space="preserve">. </w:t>
      </w:r>
    </w:p>
    <w:p w14:paraId="43ABD303" w14:textId="77777777" w:rsidR="008474BA" w:rsidRDefault="003516A7" w:rsidP="008474BA">
      <w:pPr>
        <w:keepNext/>
        <w:ind w:left="0" w:right="-1" w:firstLine="0"/>
        <w:jc w:val="center"/>
      </w:pPr>
      <w:r>
        <w:rPr>
          <w:noProof/>
        </w:rPr>
        <w:drawing>
          <wp:inline distT="0" distB="0" distL="0" distR="0" wp14:anchorId="4A3FCE80" wp14:editId="0CE1E3AA">
            <wp:extent cx="3407481" cy="2544792"/>
            <wp:effectExtent l="0" t="0" r="2540" b="825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o da Índia_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411160" cy="2547539"/>
                    </a:xfrm>
                    <a:prstGeom prst="rect">
                      <a:avLst/>
                    </a:prstGeom>
                  </pic:spPr>
                </pic:pic>
              </a:graphicData>
            </a:graphic>
          </wp:inline>
        </w:drawing>
      </w:r>
    </w:p>
    <w:p w14:paraId="31CAF547" w14:textId="4FAA21BC" w:rsidR="003516A7" w:rsidRPr="006C2067" w:rsidRDefault="008474BA" w:rsidP="003516A7">
      <w:pPr>
        <w:pStyle w:val="Legenda"/>
        <w:jc w:val="center"/>
        <w:rPr>
          <w:i w:val="0"/>
          <w:color w:val="auto"/>
          <w:sz w:val="20"/>
          <w:szCs w:val="22"/>
        </w:rPr>
      </w:pPr>
      <w:bookmarkStart w:id="5" w:name="_Toc479333876"/>
      <w:r>
        <w:t xml:space="preserve">Figura </w:t>
      </w:r>
      <w:r w:rsidRPr="006C2067">
        <w:rPr>
          <w:i w:val="0"/>
          <w:sz w:val="20"/>
        </w:rPr>
        <w:fldChar w:fldCharType="begin"/>
      </w:r>
      <w:r w:rsidRPr="006C2067">
        <w:rPr>
          <w:i w:val="0"/>
          <w:sz w:val="20"/>
        </w:rPr>
        <w:instrText xml:space="preserve"> SEQ Figura \* ARABIC </w:instrText>
      </w:r>
      <w:r w:rsidRPr="006C2067">
        <w:rPr>
          <w:i w:val="0"/>
          <w:sz w:val="20"/>
        </w:rPr>
        <w:fldChar w:fldCharType="separate"/>
      </w:r>
      <w:r w:rsidR="005F28B4">
        <w:rPr>
          <w:i w:val="0"/>
          <w:noProof/>
          <w:sz w:val="20"/>
        </w:rPr>
        <w:t>1</w:t>
      </w:r>
      <w:r w:rsidRPr="006C2067">
        <w:rPr>
          <w:i w:val="0"/>
          <w:sz w:val="20"/>
        </w:rPr>
        <w:fldChar w:fldCharType="end"/>
      </w:r>
      <w:bookmarkStart w:id="6" w:name="_Toc462710007"/>
      <w:r w:rsidR="008E2EF4">
        <w:rPr>
          <w:i w:val="0"/>
          <w:sz w:val="20"/>
        </w:rPr>
        <w:t xml:space="preserve"> -</w:t>
      </w:r>
      <w:r w:rsidRPr="006C2067">
        <w:rPr>
          <w:i w:val="0"/>
          <w:sz w:val="20"/>
        </w:rPr>
        <w:t xml:space="preserve"> </w:t>
      </w:r>
      <w:r w:rsidR="00DA0A89">
        <w:rPr>
          <w:i w:val="0"/>
          <w:color w:val="auto"/>
          <w:sz w:val="20"/>
          <w:szCs w:val="22"/>
        </w:rPr>
        <w:t>F</w:t>
      </w:r>
      <w:r w:rsidR="003516A7" w:rsidRPr="006C2067">
        <w:rPr>
          <w:i w:val="0"/>
          <w:color w:val="auto"/>
          <w:sz w:val="20"/>
          <w:szCs w:val="22"/>
        </w:rPr>
        <w:t>igo-da índia</w:t>
      </w:r>
      <w:bookmarkEnd w:id="5"/>
      <w:bookmarkEnd w:id="6"/>
    </w:p>
    <w:p w14:paraId="523080CE" w14:textId="77777777" w:rsidR="003516A7" w:rsidRDefault="003516A7" w:rsidP="003516A7"/>
    <w:p w14:paraId="29CA3AC6" w14:textId="77777777" w:rsidR="003516A7" w:rsidRPr="003516A7" w:rsidRDefault="003516A7" w:rsidP="003516A7"/>
    <w:p w14:paraId="4E3D92E6" w14:textId="77777777" w:rsidR="003516A7" w:rsidRPr="008474BA" w:rsidRDefault="008474BA" w:rsidP="008474BA">
      <w:pPr>
        <w:pStyle w:val="Cabealho2"/>
        <w:rPr>
          <w:rFonts w:ascii="Times New Roman" w:hAnsi="Times New Roman" w:cs="Times New Roman"/>
          <w:color w:val="auto"/>
        </w:rPr>
      </w:pPr>
      <w:bookmarkStart w:id="7" w:name="_Toc462576791"/>
      <w:bookmarkStart w:id="8" w:name="_Toc479154806"/>
      <w:r>
        <w:rPr>
          <w:rFonts w:ascii="Times New Roman" w:hAnsi="Times New Roman" w:cs="Times New Roman"/>
          <w:color w:val="auto"/>
        </w:rPr>
        <w:t xml:space="preserve">1.2 </w:t>
      </w:r>
      <w:r w:rsidR="003516A7" w:rsidRPr="008474BA">
        <w:rPr>
          <w:rFonts w:ascii="Times New Roman" w:hAnsi="Times New Roman" w:cs="Times New Roman"/>
          <w:color w:val="auto"/>
        </w:rPr>
        <w:t>Distribuição geográfica</w:t>
      </w:r>
      <w:bookmarkEnd w:id="7"/>
      <w:bookmarkEnd w:id="8"/>
      <w:r w:rsidR="003516A7" w:rsidRPr="008474BA">
        <w:rPr>
          <w:rFonts w:ascii="Times New Roman" w:hAnsi="Times New Roman" w:cs="Times New Roman"/>
          <w:color w:val="auto"/>
        </w:rPr>
        <w:t xml:space="preserve">   </w:t>
      </w:r>
    </w:p>
    <w:p w14:paraId="2B395AA5" w14:textId="77777777" w:rsidR="003516A7" w:rsidRPr="003516A7" w:rsidRDefault="003516A7" w:rsidP="003516A7">
      <w:pPr>
        <w:keepNext/>
        <w:keepLines/>
        <w:spacing w:before="40" w:after="0"/>
        <w:ind w:left="750" w:firstLine="0"/>
        <w:outlineLvl w:val="1"/>
        <w:rPr>
          <w:rFonts w:eastAsiaTheme="majorEastAsia"/>
          <w:color w:val="2E74B5" w:themeColor="accent1" w:themeShade="BF"/>
          <w:sz w:val="26"/>
          <w:szCs w:val="26"/>
        </w:rPr>
      </w:pPr>
      <w:r w:rsidRPr="003516A7">
        <w:rPr>
          <w:rFonts w:eastAsiaTheme="majorEastAsia"/>
          <w:color w:val="2E74B5" w:themeColor="accent1" w:themeShade="BF"/>
          <w:sz w:val="26"/>
          <w:szCs w:val="26"/>
        </w:rPr>
        <w:t xml:space="preserve">                                                                                                                                                         </w:t>
      </w:r>
    </w:p>
    <w:p w14:paraId="525744A8" w14:textId="53343751" w:rsidR="003516A7" w:rsidRDefault="003516A7" w:rsidP="003516A7">
      <w:pPr>
        <w:spacing w:after="160" w:line="360" w:lineRule="auto"/>
        <w:ind w:left="0" w:right="0" w:firstLine="0"/>
      </w:pPr>
      <w:r w:rsidRPr="003516A7">
        <w:t>O</w:t>
      </w:r>
      <w:r w:rsidRPr="003516A7">
        <w:rPr>
          <w:i/>
        </w:rPr>
        <w:t xml:space="preserve">puntia ficus-Indica </w:t>
      </w:r>
      <w:r w:rsidRPr="003516A7">
        <w:t xml:space="preserve">(L.) Mill é original da América Central, do México até à Colômbia, sendo posteriormente introduzida nas ilhas da Macedónia, Tenerife, Austrália, sul de África, Estados Unidos, Caraíbas, Havaí, Canárias Peru e Ásia </w:t>
      </w:r>
      <w:r w:rsidRPr="003516A7">
        <w:fldChar w:fldCharType="begin" w:fldLock="1"/>
      </w:r>
      <w:r w:rsidR="00AC44FA">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"id" : "ITEM-2", "itemData" : { "DOI" : "10.1023/A:1008000232406", "author" : [ { "dropping-particle" : "El", "family" : "Kossori", "given" : "Radia Lamghari", "non-dropping-particle" : "", "parse-names" : false, "suffix" : "" }, { "dropping-particle" : "", "family" : "Villaume", "given" : "Christian", "non-dropping-particle" : "", "parse-names" : false, "suffix" : "" }, { "dropping-particle" : "El", "family" : "Boustani", "given" : "Essadiq", "non-dropping-particle" : "", "parse-names" : false, "suffix" : "" }, { "dropping-particle" : "", "family" : "Sauvaire", "given" : "Yves", "non-dropping-particle" : "", "parse-names" : false, "suffix" : "" }, { "dropping-particle" : "", "family" : "M\u00e9jean", "given" : "Luc", "non-dropping-particle" : "", "parse-names" : false, "suffix" : "" } ], "container-title" : "Plant Foods for Human Nutrition", "id" : "ITEM-2", "issue" : "3", "issued" : { "date-parts" : [ [ "1998" ] ] }, "page" : "263-270", "title" : "Composition of pulp, skin and seeds of prickly pears fruit (Opuntia ficus indica sp.)", "type" : "article-journal", "volume" : "52" }, "uris" : [ "http://www.mendeley.com/documents/?uuid=473e2ab3-15f8-4ba3-b5d1-c78007d1b8d9" ] }, { "id" : "ITEM-3", "itemData" : { "DOI" : "http://dx.doi.org/10.1614/WT-04-134", "author" : [ { "dropping-particle" : "", "family" : "DeFelice", "given" : "Michael", "non-dropping-particle" : "", "parse-names" : false, "suffix" : "" } ], "container-title" : "Weed Technology", "id" : "ITEM-3", "issue" : "3", "issued" : { "date-parts" : [ [ "2004" ] ] }, "page" : "869-877", "title" : "Prickly Pear Cactus, Opuntia spp.\u2014A Spine-Tingling Tale", "type" : "article-journal", "volume" : "18" }, "uris" : [ "http://www.mendeley.com/documents/?uuid=ad1c5dba-f3c1-42a0-9536-da266903f417" ] }, { "id" : "ITEM-4",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"ITEM-4", "issued" : { "date-parts" : [ [ "2007" ] ] }, "page" : "38-45", "title" : "Chemical characterization of Opuntia dillenii and Opuntia ficus indica fruits", "type" : "article-journal", "volume" : "103" }, "uris" : [ "http://www.mendeley.com/documents/?uuid=76f175b1-c4eb-4f47-859a-ba2cc4bf2692" ] }, { "id" : "ITEM-5", "itemData" : { "author" : [ { "dropping-particle" : "", "family" : "Griffith", "given" : "PATRICK M.", "non-dropping-particle" : "", "parse-names" : false, "suffix" : "" } ], "container-title" : "American Journal of Botany", "id" : "ITEM-5", "issue" : "11", "issued" : { "date-parts" : [ [ "2004" ] ] }, "page" : "1915-1921", "title" : "The origins of an important cactus crop, opuntia ficus-indica (Cactaceae): New molecular evidence", "type" : "article-journal", "volume" : "91" }, "uris" : [ "http://www.mendeley.com/documents/?uuid=dd9ffe59-ca7e-478d-9eaf-51a1ba25a424" ] } ], "mendeley" : { "formattedCitation" : "(DeFelice, 2004; Griffith, 2004; Kossori et al., 1998; Medina, Rodr\u00edguez, &amp; Romero, 2007; Vil\u00e0, 2006)", "manualFormatting" : "(Griffith, 2004; Kossori et al., 1998; Medina et al., 2007; DeFelice, 2004; Vil\u00e0, 2006)", "plainTextFormattedCitation" : "(DeFelice, 2004; Griffith, 2004; Kossori et al., 1998; Medina, Rodr\u00edguez, &amp; Romero, 2007; Vil\u00e0, 2006)", "previouslyFormattedCitation" : "(DeFelice, 2004; Griffith, 2004; Kossori et al., 1998; Medina, Rodr\u00edguez, &amp; Romero, 2007; Vil\u00e0, 2006)" }, "properties" : { "noteIndex" : 0 }, "schema" : "https://github.com/citation-style-language/schema/raw/master/csl-citation.json" }</w:instrText>
      </w:r>
      <w:r w:rsidRPr="003516A7">
        <w:fldChar w:fldCharType="separate"/>
      </w:r>
      <w:r w:rsidRPr="003516A7">
        <w:rPr>
          <w:noProof/>
        </w:rPr>
        <w:t>(Griffith, 2004; Kossori et al., 1998;</w:t>
      </w:r>
      <w:r w:rsidR="00500085">
        <w:rPr>
          <w:noProof/>
        </w:rPr>
        <w:t xml:space="preserve"> Medina et al.</w:t>
      </w:r>
      <w:r w:rsidR="00AC44FA">
        <w:rPr>
          <w:noProof/>
        </w:rPr>
        <w:t xml:space="preserve">, 2007; </w:t>
      </w:r>
      <w:r w:rsidRPr="003516A7">
        <w:rPr>
          <w:noProof/>
        </w:rPr>
        <w:t>DeF</w:t>
      </w:r>
      <w:r w:rsidR="00474A4A">
        <w:rPr>
          <w:noProof/>
        </w:rPr>
        <w:t>elice</w:t>
      </w:r>
      <w:r w:rsidRPr="003516A7">
        <w:rPr>
          <w:noProof/>
        </w:rPr>
        <w:t>, 2004; Vilà, 2006)</w:t>
      </w:r>
      <w:r w:rsidRPr="003516A7">
        <w:fldChar w:fldCharType="end"/>
      </w:r>
      <w:r w:rsidRPr="003516A7">
        <w:t xml:space="preserve">. Foi trazido para a Europa através de conquistadores espanhóis no século XVI, para inicialmente ser cultivada como planta hospedeira do inseto </w:t>
      </w:r>
      <w:r w:rsidRPr="003516A7">
        <w:rPr>
          <w:i/>
        </w:rPr>
        <w:t>Coccus dactylopius</w:t>
      </w:r>
      <w:r w:rsidRPr="003516A7">
        <w:t xml:space="preserve"> para produção de corante comercial vermelho depois expandiu-se por toda a bacia medi</w:t>
      </w:r>
      <w:r w:rsidR="00AC44FA">
        <w:t>terrânea, como representado na F</w:t>
      </w:r>
      <w:r w:rsidRPr="003516A7">
        <w:t xml:space="preserve">igura 2, sendo usada para diferentes fins </w:t>
      </w:r>
      <w:r w:rsidRPr="003516A7">
        <w:fldChar w:fldCharType="begin" w:fldLock="1"/>
      </w:r>
      <w:r w:rsidR="00C769BE">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"id" : "ITEM-2", "itemData" : { "author" : [ { "dropping-particle" : "", "family" : "Griffith", "given" : "PATRICK M.", "non-dropping-particle" : "", "parse-names" : false, "suffix" : "" } ], "container-title" : "American Journal of Botany", "id" : "ITEM-2", "issue" : "11", "issued" : { "date-parts" : [ [ "2004" ] ] }, "page" : "1915-1921", "title" : "The origins of an important cactus crop, opuntia ficus-indica (Cactaceae): New molecular evidence", "type" : "article-journal", "volume" : "91" }, "uris" : [ "http://www.mendeley.com/documents/?uuid=dd9ffe59-ca7e-478d-9eaf-51a1ba25a424" ] } ], "mendeley" : { "formattedCitation" : "(Griffith, 2004; Vil\u00e0, 2006)", "plainTextFormattedCitation" : "(Griffith, 2004; Vil\u00e0, 2006)", "previouslyFormattedCitation" : "(Griffith, 2004; Vil\u00e0, 2006)" }, "properties" : { "noteIndex" : 0 }, "schema" : "https://github.com/citation-style-language/schema/raw/master/csl-citation.json" }</w:instrText>
      </w:r>
      <w:r w:rsidRPr="003516A7">
        <w:fldChar w:fldCharType="separate"/>
      </w:r>
      <w:r w:rsidRPr="003516A7">
        <w:rPr>
          <w:noProof/>
        </w:rPr>
        <w:t>(Griffith, 2004; Vilà, 2006)</w:t>
      </w:r>
      <w:r w:rsidRPr="003516A7">
        <w:fldChar w:fldCharType="end"/>
      </w:r>
      <w:r>
        <w:t>.</w:t>
      </w:r>
    </w:p>
    <w:p w14:paraId="78F1BD44" w14:textId="77777777" w:rsidR="008474BA" w:rsidRDefault="003516A7" w:rsidP="008474BA">
      <w:pPr>
        <w:keepNext/>
        <w:spacing w:after="160" w:line="360" w:lineRule="auto"/>
        <w:ind w:left="0" w:right="0" w:firstLine="0"/>
      </w:pPr>
      <w:r w:rsidRPr="00EE29C2">
        <w:rPr>
          <w:noProof/>
        </w:rPr>
        <w:lastRenderedPageBreak/>
        <w:drawing>
          <wp:inline distT="0" distB="0" distL="0" distR="0" wp14:anchorId="50E79818" wp14:editId="5FC2B86B">
            <wp:extent cx="5374256" cy="2518913"/>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80307" cy="2521749"/>
                    </a:xfrm>
                    <a:prstGeom prst="rect">
                      <a:avLst/>
                    </a:prstGeom>
                    <a:noFill/>
                    <a:ln>
                      <a:noFill/>
                    </a:ln>
                  </pic:spPr>
                </pic:pic>
              </a:graphicData>
            </a:graphic>
          </wp:inline>
        </w:drawing>
      </w:r>
    </w:p>
    <w:p w14:paraId="6CF6CA8B" w14:textId="631A32C5" w:rsidR="003516A7" w:rsidRPr="003516A7" w:rsidRDefault="008474BA" w:rsidP="008474BA">
      <w:pPr>
        <w:pStyle w:val="Legenda"/>
        <w:rPr>
          <w:i w:val="0"/>
          <w:iCs w:val="0"/>
          <w:color w:val="auto"/>
        </w:rPr>
      </w:pPr>
      <w:bookmarkStart w:id="9" w:name="_Toc479333877"/>
      <w:r>
        <w:t xml:space="preserve">Figura </w:t>
      </w:r>
      <w:r w:rsidR="00805B44">
        <w:fldChar w:fldCharType="begin"/>
      </w:r>
      <w:r w:rsidR="00805B44">
        <w:instrText xml:space="preserve"> SEQ Figura \* ARABIC </w:instrText>
      </w:r>
      <w:r w:rsidR="00805B44">
        <w:fldChar w:fldCharType="separate"/>
      </w:r>
      <w:r w:rsidR="005F28B4">
        <w:rPr>
          <w:noProof/>
        </w:rPr>
        <w:t>2</w:t>
      </w:r>
      <w:r w:rsidR="00805B44">
        <w:rPr>
          <w:noProof/>
        </w:rPr>
        <w:fldChar w:fldCharType="end"/>
      </w:r>
      <w:bookmarkStart w:id="10" w:name="_Toc462710008"/>
      <w:r>
        <w:t xml:space="preserve"> </w:t>
      </w:r>
      <w:r w:rsidRPr="006C2067">
        <w:rPr>
          <w:sz w:val="20"/>
        </w:rPr>
        <w:t xml:space="preserve">- </w:t>
      </w:r>
      <w:r w:rsidR="003516A7" w:rsidRPr="006C2067">
        <w:rPr>
          <w:i w:val="0"/>
          <w:iCs w:val="0"/>
          <w:color w:val="auto"/>
          <w:sz w:val="20"/>
        </w:rPr>
        <w:t>Distribuição geográfica na Europa</w:t>
      </w:r>
      <w:bookmarkEnd w:id="9"/>
      <w:bookmarkEnd w:id="10"/>
      <w:r w:rsidR="009A72E6">
        <w:rPr>
          <w:i w:val="0"/>
          <w:iCs w:val="0"/>
          <w:color w:val="auto"/>
          <w:sz w:val="20"/>
        </w:rPr>
        <w:t xml:space="preserve"> </w:t>
      </w:r>
      <w:r w:rsidR="009A72E6">
        <w:rPr>
          <w:i w:val="0"/>
          <w:iCs w:val="0"/>
          <w:color w:val="auto"/>
          <w:sz w:val="20"/>
        </w:rPr>
        <w:fldChar w:fldCharType="begin" w:fldLock="1"/>
      </w:r>
      <w:r w:rsidR="00C769BE">
        <w:rPr>
          <w:i w:val="0"/>
          <w:iCs w:val="0"/>
          <w:color w:val="auto"/>
          <w:sz w:val="20"/>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"mendeley" : { "formattedCitation" : "(Vil\u00e0, 2006)", "plainTextFormattedCitation" : "(Vil\u00e0, 2006)", "previouslyFormattedCitation" : "(Vil\u00e0, 2006)" }, "properties" : { "noteIndex" : 0 }, "schema" : "https://github.com/citation-style-language/schema/raw/master/csl-citation.json" }</w:instrText>
      </w:r>
      <w:r w:rsidR="009A72E6">
        <w:rPr>
          <w:i w:val="0"/>
          <w:iCs w:val="0"/>
          <w:color w:val="auto"/>
          <w:sz w:val="20"/>
        </w:rPr>
        <w:fldChar w:fldCharType="separate"/>
      </w:r>
      <w:r w:rsidR="009A72E6" w:rsidRPr="009A72E6">
        <w:rPr>
          <w:i w:val="0"/>
          <w:iCs w:val="0"/>
          <w:noProof/>
          <w:color w:val="auto"/>
          <w:sz w:val="20"/>
        </w:rPr>
        <w:t>(Vilà, 2006)</w:t>
      </w:r>
      <w:r w:rsidR="009A72E6">
        <w:rPr>
          <w:i w:val="0"/>
          <w:iCs w:val="0"/>
          <w:color w:val="auto"/>
          <w:sz w:val="20"/>
        </w:rPr>
        <w:fldChar w:fldCharType="end"/>
      </w:r>
    </w:p>
    <w:p w14:paraId="52C5259D" w14:textId="77777777" w:rsidR="003516A7" w:rsidRDefault="003516A7" w:rsidP="003516A7">
      <w:pPr>
        <w:spacing w:after="160" w:line="360" w:lineRule="auto"/>
        <w:ind w:left="0" w:right="0" w:firstLine="0"/>
      </w:pPr>
    </w:p>
    <w:p w14:paraId="7040E042" w14:textId="1E980404"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Estes catos podem ser encontrados em áreas áridas ou semiáridas, dunas costeiras de areia, falésias, florestas coníferas e depósito de resíduos </w:t>
      </w:r>
      <w:r w:rsidRPr="003516A7">
        <w:rPr>
          <w:rFonts w:eastAsia="Calibri"/>
          <w:color w:val="auto"/>
          <w:szCs w:val="24"/>
          <w:lang w:eastAsia="en-US"/>
        </w:rPr>
        <w:fldChar w:fldCharType="begin" w:fldLock="1"/>
      </w:r>
      <w:r w:rsidR="00AC44FA">
        <w:rPr>
          <w:rFonts w:eastAsia="Calibri"/>
          <w:color w:val="auto"/>
          <w:szCs w:val="24"/>
          <w:lang w:eastAsia="en-US"/>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"id" : "ITEM-2",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"ITEM-2", "issued" : { "date-parts" : [ [ "2007" ] ] }, "page" : "38-45", "title" : "Chemical characterization of Opuntia dillenii and Opuntia ficus indica fruits", "type" : "article-journal", "volume" : "103" }, "uris" : [ "http://www.mendeley.com/documents/?uuid=76f175b1-c4eb-4f47-859a-ba2cc4bf2692" ] }, { "id" : "ITEM-3",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"ITEM-3",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"id" : "ITEM-4", "itemData" : { "DOI" : "http://dx.doi.org/10.1614/WT-04-134", "author" : [ { "dropping-particle" : "", "family" : "DeFelice", "given" : "Michael", "non-dropping-particle" : "", "parse-names" : false, "suffix" : "" } ], "container-title" : "Weed Technology", "id" : "ITEM-4", "issue" : "3", "issued" : { "date-parts" : [ [ "2004" ] ] }, "page" : "869-877", "title" : "Prickly Pear Cactus, Opuntia spp.\u2014A Spine-Tingling Tale", "type" : "article-journal", "volume" : "18" }, "uris" : [ "http://www.mendeley.com/documents/?uuid=ad1c5dba-f3c1-42a0-9536-da266903f417" ] }, { "id" : "ITEM-5", "itemData" : { "DOI" : "10.1023/A:1008000232406", "author" : [ { "dropping-particle" : "El", "family" : "Kossori", "given" : "Radia Lamghari", "non-dropping-particle" : "", "parse-names" : false, "suffix" : "" }, { "dropping-particle" : "", "family" : "Villaume", "given" : "Christian", "non-dropping-particle" : "", "parse-names" : false, "suffix" : "" }, { "dropping-particle" : "El", "family" : "Boustani", "given" : "Essadiq", "non-dropping-particle" : "", "parse-names" : false, "suffix" : "" }, { "dropping-particle" : "", "family" : "Sauvaire", "given" : "Yves", "non-dropping-particle" : "", "parse-names" : false, "suffix" : "" }, { "dropping-particle" : "", "family" : "M\u00e9jean", "given" : "Luc", "non-dropping-particle" : "", "parse-names" : false, "suffix" : "" } ], "container-title" : "Plant Foods for Human Nutrition", "id" : "ITEM-5", "issue" : "3", "issued" : { "date-parts" : [ [ "1998" ] ] }, "page" : "263-270", "title" : "Composition of pulp, skin and seeds of prickly pears fruit (Opuntia ficus indica sp.)", "type" : "article-journal", "volume" : "52" }, "uris" : [ "http://www.mendeley.com/documents/?uuid=473e2ab3-15f8-4ba3-b5d1-c78007d1b8d9" ] } ], "mendeley" : { "formattedCitation" : "(Ashraf et al., 2011; DeFelice, 2004; Kossori et al., 1998; Medina et al., 2007; Vil\u00e0, 2006)", "manualFormatting" : "(Ashraf et al., 2011; Kossori et al., 1998; Medina et al., 2007; DeFelice, 2004; Vil\u00e0, 2006)", "plainTextFormattedCitation" : "(Ashraf et al., 2011; DeFelice, 2004; Kossori et al., 1998; Medina et al., 2007; Vil\u00e0, 2006)", "previouslyFormattedCitation" : "(Ashraf et al., 2011; DeFelice, 2004; Kossori et al., 1998; Medina et al., 2007;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(Ashraf et al., 2011; Kossori et al.</w:t>
      </w:r>
      <w:r w:rsidR="00AC44FA">
        <w:rPr>
          <w:rFonts w:eastAsia="Calibri"/>
          <w:noProof/>
          <w:color w:val="auto"/>
          <w:szCs w:val="24"/>
          <w:lang w:eastAsia="en-US"/>
        </w:rPr>
        <w:t xml:space="preserve">, 1998; Medina et al., 2007; </w:t>
      </w:r>
      <w:r w:rsidRPr="003516A7">
        <w:rPr>
          <w:rFonts w:eastAsia="Calibri"/>
          <w:noProof/>
          <w:color w:val="auto"/>
          <w:szCs w:val="24"/>
          <w:lang w:eastAsia="en-US"/>
        </w:rPr>
        <w:t>DeF</w:t>
      </w:r>
      <w:r w:rsidR="00474A4A">
        <w:rPr>
          <w:rFonts w:eastAsia="Calibri"/>
          <w:noProof/>
          <w:color w:val="auto"/>
          <w:szCs w:val="24"/>
          <w:lang w:eastAsia="en-US"/>
        </w:rPr>
        <w:t>elice</w:t>
      </w:r>
      <w:r w:rsidRPr="003516A7">
        <w:rPr>
          <w:rFonts w:eastAsia="Calibri"/>
          <w:noProof/>
          <w:color w:val="auto"/>
          <w:szCs w:val="24"/>
          <w:lang w:eastAsia="en-US"/>
        </w:rPr>
        <w:t>, 2004; Vilà, 2006)</w:t>
      </w:r>
      <w:r w:rsidRPr="003516A7">
        <w:rPr>
          <w:rFonts w:eastAsia="Calibri"/>
          <w:color w:val="auto"/>
          <w:szCs w:val="24"/>
          <w:lang w:eastAsia="en-US"/>
        </w:rPr>
        <w:fldChar w:fldCharType="end"/>
      </w:r>
      <w:r w:rsidRPr="003516A7">
        <w:rPr>
          <w:rFonts w:eastAsia="Calibri"/>
          <w:color w:val="auto"/>
          <w:szCs w:val="24"/>
          <w:lang w:eastAsia="en-US"/>
        </w:rPr>
        <w:t xml:space="preserve">. Tem fácil adaptação a climas secos e com temperaturas altas e são sensíveis ao congelamento a partir de temperaturas como -6 ᵒC </w:t>
      </w:r>
      <w:r w:rsidRPr="003516A7">
        <w:rPr>
          <w:rFonts w:eastAsia="Calibri"/>
          <w:color w:val="auto"/>
          <w:szCs w:val="24"/>
          <w:lang w:eastAsia="en-US"/>
        </w:rPr>
        <w:fldChar w:fldCharType="begin" w:fldLock="1"/>
      </w:r>
      <w:r w:rsidR="00C769BE">
        <w:rPr>
          <w:rFonts w:eastAsia="Calibri"/>
          <w:color w:val="auto"/>
          <w:szCs w:val="24"/>
          <w:lang w:eastAsia="en-US"/>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"mendeley" : { "formattedCitation" : "(Vil\u00e0, 2006)", "plainTextFormattedCitation" : "(Vil\u00e0, 2006)", "previouslyFormattedCitation" :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(Vilà, 2006)</w:t>
      </w:r>
      <w:r w:rsidRPr="003516A7">
        <w:rPr>
          <w:rFonts w:eastAsia="Calibri"/>
          <w:color w:val="auto"/>
          <w:szCs w:val="24"/>
          <w:lang w:eastAsia="en-US"/>
        </w:rPr>
        <w:fldChar w:fldCharType="end"/>
      </w:r>
      <w:r w:rsidRPr="003516A7">
        <w:rPr>
          <w:rFonts w:eastAsia="Calibri"/>
          <w:color w:val="auto"/>
          <w:szCs w:val="24"/>
          <w:lang w:eastAsia="en-US"/>
        </w:rPr>
        <w:t xml:space="preserve">. A sua expansão é facilitada através da dispersão das sementes pelos pássaros, lagartos, suínos que se alimentam da fruta, as sementes que permanecem intactas germinam ao longo de períodos de chuva e de temperaturas de aproximadamente 21ᵒC, ou através da polinização das flores pelos insetos </w:t>
      </w:r>
      <w:r w:rsidRPr="003516A7">
        <w:rPr>
          <w:rFonts w:eastAsia="Calibri"/>
          <w:color w:val="auto"/>
          <w:szCs w:val="24"/>
          <w:lang w:eastAsia="en-US"/>
        </w:rPr>
        <w:fldChar w:fldCharType="begin" w:fldLock="1"/>
      </w:r>
      <w:r w:rsidR="00C769BE">
        <w:rPr>
          <w:rFonts w:eastAsia="Calibri"/>
          <w:color w:val="auto"/>
          <w:szCs w:val="24"/>
          <w:lang w:eastAsia="en-US"/>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"mendeley" : { "formattedCitation" : "(Vil\u00e0, 2006)", "plainTextFormattedCitation" : "(Vil\u00e0, 2006)", "previouslyFormattedCitation" :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(Vilà, 2006)</w:t>
      </w:r>
      <w:r w:rsidRPr="003516A7">
        <w:rPr>
          <w:rFonts w:eastAsia="Calibri"/>
          <w:color w:val="auto"/>
          <w:szCs w:val="24"/>
          <w:lang w:eastAsia="en-US"/>
        </w:rPr>
        <w:fldChar w:fldCharType="end"/>
      </w:r>
      <w:r w:rsidRPr="003516A7">
        <w:rPr>
          <w:rFonts w:eastAsia="Calibri"/>
          <w:color w:val="auto"/>
          <w:szCs w:val="24"/>
          <w:lang w:eastAsia="en-US"/>
        </w:rPr>
        <w:t>.</w:t>
      </w:r>
    </w:p>
    <w:p w14:paraId="03E83738" w14:textId="176BCA3A"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A sua presença pode-se tornar invasiva, pois estas plantas brotam mesmo após a remoção da sua biomassa aérea uma vez que nascem a partir de qualquer fragmento da planta. Outro dos fatores que torna a planta invasiva é o aumento do aquecimento global e do CO</w:t>
      </w:r>
      <w:r w:rsidRPr="003516A7">
        <w:rPr>
          <w:rFonts w:eastAsia="Calibri"/>
          <w:color w:val="auto"/>
          <w:szCs w:val="24"/>
          <w:vertAlign w:val="subscript"/>
          <w:lang w:eastAsia="en-US"/>
        </w:rPr>
        <w:t xml:space="preserve">2 </w:t>
      </w:r>
      <w:r w:rsidRPr="003516A7">
        <w:rPr>
          <w:rFonts w:eastAsia="Calibri"/>
          <w:color w:val="auto"/>
          <w:szCs w:val="24"/>
          <w:lang w:eastAsia="en-US"/>
        </w:rPr>
        <w:t>atmosférico que pode predizer um aumento na sua produtividade. Para prevenir é necessário evitar o plantio destas plantas como ornamental e os despejos dos restos da planta</w:t>
      </w:r>
      <w:r w:rsidR="00AC44FA">
        <w:rPr>
          <w:rFonts w:eastAsia="Calibri"/>
          <w:color w:val="auto"/>
          <w:szCs w:val="24"/>
          <w:lang w:eastAsia="en-US"/>
        </w:rPr>
        <w:t xml:space="preserve"> </w:t>
      </w:r>
      <w:r w:rsidRPr="003516A7">
        <w:rPr>
          <w:rFonts w:eastAsia="Calibri"/>
          <w:color w:val="auto"/>
          <w:szCs w:val="24"/>
          <w:lang w:eastAsia="en-US"/>
        </w:rPr>
        <w:fldChar w:fldCharType="begin" w:fldLock="1"/>
      </w:r>
      <w:r w:rsidR="00C769BE">
        <w:rPr>
          <w:rFonts w:eastAsia="Calibri"/>
          <w:color w:val="auto"/>
          <w:szCs w:val="24"/>
          <w:lang w:eastAsia="en-US"/>
        </w:rPr>
        <w:instrText>ADDIN CSL_CITATION { "citationItems" : [ { "id" : "ITEM-1", "itemData" : { "URL" : "http://www.europe-aliens.org/speciesFactsheet.do?speciesId=7300", "accessed" : { "date-parts" : [ [ "2016", "5", "2" ] ] }, "author" : [ { "dropping-particle" : "", "family" : "Vil\u00e0", "given" : "Montserrat", "non-dropping-particle" : "", "parse-names" : false, "suffix" : "" } ], "container-title" : "Delivering alien invasive species inventories for Europe", "id" : "ITEM-1", "issued" : { "date-parts" : [ [ "2006", "10" ] ] }, "title" : "Opuntia ficus-indica", "type" : "webpage" }, "uris" : [ "http://www.mendeley.com/documents/?uuid=5af63a90-ed6a-4e56-acad-e468c7a9dac1" ] } ], "mendeley" : { "formattedCitation" : "(Vil\u00e0, 2006)", "plainTextFormattedCitation" : "(Vil\u00e0, 2006)", "previouslyFormattedCitation" : "(Vil\u00e0,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(Vilà, 2006)</w:t>
      </w:r>
      <w:r w:rsidRPr="003516A7">
        <w:rPr>
          <w:rFonts w:eastAsia="Calibri"/>
          <w:color w:val="auto"/>
          <w:szCs w:val="24"/>
          <w:lang w:eastAsia="en-US"/>
        </w:rPr>
        <w:fldChar w:fldCharType="end"/>
      </w:r>
      <w:r w:rsidR="000E1A1D">
        <w:rPr>
          <w:rFonts w:eastAsia="Calibri"/>
          <w:color w:val="auto"/>
          <w:szCs w:val="24"/>
          <w:lang w:eastAsia="en-US"/>
        </w:rPr>
        <w:t>.</w:t>
      </w:r>
    </w:p>
    <w:p w14:paraId="7E9B20E7" w14:textId="4CF35898"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Em Portugal já existem plantaç</w:t>
      </w:r>
      <w:r w:rsidR="005E7B09">
        <w:rPr>
          <w:rFonts w:eastAsia="Calibri"/>
          <w:color w:val="auto"/>
          <w:szCs w:val="24"/>
          <w:lang w:eastAsia="en-US"/>
        </w:rPr>
        <w:t>ões</w:t>
      </w:r>
      <w:r w:rsidR="00E16B03">
        <w:rPr>
          <w:rFonts w:eastAsia="Calibri"/>
          <w:color w:val="auto"/>
          <w:szCs w:val="24"/>
          <w:lang w:eastAsia="en-US"/>
        </w:rPr>
        <w:t xml:space="preserve"> </w:t>
      </w:r>
      <w:r w:rsidR="005E7B09">
        <w:rPr>
          <w:rFonts w:eastAsia="Calibri"/>
          <w:color w:val="auto"/>
          <w:szCs w:val="24"/>
          <w:lang w:eastAsia="en-US"/>
        </w:rPr>
        <w:t>ordenadas</w:t>
      </w:r>
      <w:r w:rsidRPr="003516A7">
        <w:rPr>
          <w:rFonts w:eastAsia="Calibri"/>
          <w:color w:val="auto"/>
          <w:szCs w:val="24"/>
          <w:lang w:eastAsia="en-US"/>
        </w:rPr>
        <w:t xml:space="preserve"> correspondendo aproximadamente a cerca 230 ha </w:t>
      </w:r>
      <w:r w:rsidRPr="003516A7">
        <w:rPr>
          <w:rFonts w:eastAsia="Calibri"/>
          <w:color w:val="auto"/>
          <w:szCs w:val="24"/>
          <w:lang w:eastAsia="en-US"/>
        </w:rPr>
        <w:fldChar w:fldCharType="begin" w:fldLock="1"/>
      </w:r>
      <w:r w:rsidR="00676F1F">
        <w:rPr>
          <w:rFonts w:eastAsia="Calibri"/>
          <w:color w:val="auto"/>
          <w:szCs w:val="24"/>
          <w:lang w:eastAsia="en-US"/>
        </w:rPr>
        <w:instrText>ADDIN CSL_CITATION { "citationItems" : [ { "id" : "ITEM-1", "itemData" : { "URL" : "http://www.agrotec.pt/noticias/figo-da-india-em-debate-no-alentejo/", "accessed" : { "date-parts" : [ [ "2016", "8", "2" ] ] }, "author" : [ { "dropping-particle" : "", "family" : "An\u00f3nimo", "given" : "", "non-dropping-particle" : "", "parse-names" : false, "suffix" : "" } ], "container-title" : "AgroTec", "id" : "ITEM-1", "issued" : { "date-parts" : [ [ "2016" ] ] }, "title" : "Figo-da-\u00cdndia em debate no Alentejo", "type" : "webpage" }, "uris" : [ "http://www.mendeley.com/documents/?uuid=bf8e4c99-fcab-4639-b512-d026dce7a309" ] }, { "id" : "ITEM-2", "itemData" : { "URL" : "http://www.adral.pt/pt/rrsilvestres/recursos/Paginas/Figo-da-%25C3%258Dndia.aspx", "accessed" : { "date-parts" : [ [ "2016", "8", "2" ] ] }, "author" : [ { "dropping-particle" : "", "family" : "An\u00f3nimo", "given" : "", "non-dropping-particle" : "", "parse-names" : false, "suffix" : "" } ], "container-title" : "ADRAL", "id" : "ITEM-2", "issued" : { "date-parts" : [ [ "0" ] ] }, "title" : "Figo da \u00cdndia", "type" : "webpage" }, "uris" : [ "http://www.mendeley.com/documents/?uuid=beff1546-86c1-4b8e-a352-8736e03c94ee" ] } ], "mendeley" : { "formattedCitation" : "(An\u00f3nimo, n.d., 2016)", "plainTextFormattedCitation" : "(An\u00f3nimo, n.d., 2016)", "previouslyFormattedCitation" : "(An\u00f3nimo, n.d., 2016)" }, "properties" : { "noteIndex" : 0 }, "schema" : "https://github.com/citation-style-language/schema/raw/master/csl-citation.json" }</w:instrText>
      </w:r>
      <w:r w:rsidRPr="003516A7">
        <w:rPr>
          <w:rFonts w:eastAsia="Calibri"/>
          <w:color w:val="auto"/>
          <w:szCs w:val="24"/>
          <w:lang w:eastAsia="en-US"/>
        </w:rPr>
        <w:fldChar w:fldCharType="separate"/>
      </w:r>
      <w:r w:rsidR="00285E39" w:rsidRPr="00285E39">
        <w:rPr>
          <w:rFonts w:eastAsia="Calibri"/>
          <w:noProof/>
          <w:color w:val="auto"/>
          <w:szCs w:val="24"/>
          <w:lang w:eastAsia="en-US"/>
        </w:rPr>
        <w:t>(Anónimo, n.d., 2016)</w:t>
      </w:r>
      <w:r w:rsidRPr="003516A7">
        <w:rPr>
          <w:rFonts w:eastAsia="Calibri"/>
          <w:color w:val="auto"/>
          <w:szCs w:val="24"/>
          <w:lang w:eastAsia="en-US"/>
        </w:rPr>
        <w:fldChar w:fldCharType="end"/>
      </w:r>
      <w:r w:rsidRPr="003516A7">
        <w:rPr>
          <w:rFonts w:eastAsia="Calibri"/>
          <w:color w:val="auto"/>
          <w:szCs w:val="24"/>
          <w:lang w:eastAsia="en-US"/>
        </w:rPr>
        <w:t xml:space="preserve">. Em termos geográficos o distrito do Algarve é o que corresponde à maior área plantada seguindo Castelo Branco, Évora, Portalegre, Beja, Santarém, Leiria, Viseu, Setúbal, Lisboa e Guarda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"URL" : "http://www.agronegocios.eu/noticias/figo-da-india-ganha-terreno-no-pais-e-exportacao-pode-chegar-em-2016/", "accessed" : { "date-parts" : [ [ "2016", "8", "2" ] ] }, "author" : [ { "dropping-particle" : "", "family" : "Clara", "given" : "Ana", "non-dropping-particle" : "", "parse-names" : false, "suffix" : "" } ], "container-title" : "AgroNeg\u00f3cios.eu", "id" : "ITEM-1", "issued" : { "date-parts" : [ [ "2015" ] ] }, "title" : "Figo-da-\u00edndia ganha terreno no pa\u00eds e exporta\u00e7\u00e3o pode chegar em 2016", "type" : "webpage" }, "uris" : [ "http://www.mendeley.com/documents/?uuid=143713c3-9953-46cb-84ea-751eb151dd37" ] } ], "mendeley" : { "formattedCitation" : "(Clara, 2015)", "plainTextFormattedCitation" : "(Clara, 2015)", "previouslyFormattedCitation" : "(Clara, 2015)"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(Clara, 2015)</w:t>
      </w:r>
      <w:r w:rsidRPr="003516A7">
        <w:rPr>
          <w:rFonts w:eastAsia="Calibri"/>
          <w:color w:val="auto"/>
          <w:szCs w:val="24"/>
          <w:lang w:eastAsia="en-US"/>
        </w:rPr>
        <w:fldChar w:fldCharType="end"/>
      </w:r>
      <w:r w:rsidRPr="003516A7">
        <w:rPr>
          <w:rFonts w:eastAsia="Calibri"/>
          <w:color w:val="auto"/>
          <w:szCs w:val="24"/>
          <w:lang w:eastAsia="en-US"/>
        </w:rPr>
        <w:t xml:space="preserve">. Os ecótipos </w:t>
      </w:r>
      <w:r w:rsidRPr="003516A7">
        <w:rPr>
          <w:rFonts w:eastAsia="Calibri"/>
          <w:color w:val="auto"/>
          <w:szCs w:val="24"/>
          <w:lang w:eastAsia="en-US"/>
        </w:rPr>
        <w:lastRenderedPageBreak/>
        <w:t>encontrados em maior variedade nestas plantações são vermelha e laranja</w:t>
      </w:r>
      <w:r w:rsidR="00595DB0">
        <w:rPr>
          <w:rFonts w:eastAsia="Calibri"/>
          <w:color w:val="auto"/>
          <w:szCs w:val="24"/>
          <w:lang w:eastAsia="en-US"/>
        </w:rPr>
        <w:t xml:space="preserve"> e a que se encontra</w:t>
      </w:r>
      <w:r w:rsidRPr="003516A7">
        <w:rPr>
          <w:rFonts w:eastAsia="Calibri"/>
          <w:color w:val="auto"/>
          <w:szCs w:val="24"/>
          <w:lang w:eastAsia="en-US"/>
        </w:rPr>
        <w:t xml:space="preserve"> em menor quantidade é a verde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"URL" : "http://www.agronegocios.eu/noticias/figo-da-india-ganha-terreno-no-pais-e-exportacao-pode-chegar-em-2016/", "accessed" : { "date-parts" : [ [ "2016", "8", "2" ] ] }, "author" : [ { "dropping-particle" : "", "family" : "Clara", "given" : "Ana", "non-dropping-particle" : "", "parse-names" : false, "suffix" : "" } ], "container-title" : "AgroNeg\u00f3cios.eu", "id" : "ITEM-1", "issued" : { "date-parts" : [ [ "2015" ] ] }, "title" : "Figo-da-\u00edndia ganha terreno no pa\u00eds e exporta\u00e7\u00e3o pode chegar em 2016", "type" : "webpage" }, "uris" : [ "http://www.mendeley.com/documents/?uuid=143713c3-9953-46cb-84ea-751eb151dd37" ] } ], "mendeley" : { "formattedCitation" : "(Clara, 2015)", "plainTextFormattedCitation" : "(Clara, 2015)", "previouslyFormattedCitation" : "(Clara, 2015)"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(Clara, 2015)</w:t>
      </w:r>
      <w:r w:rsidRPr="003516A7">
        <w:rPr>
          <w:rFonts w:eastAsia="Calibri"/>
          <w:color w:val="auto"/>
          <w:szCs w:val="24"/>
          <w:lang w:eastAsia="en-US"/>
        </w:rPr>
        <w:fldChar w:fldCharType="end"/>
      </w:r>
      <w:r w:rsidRPr="003516A7">
        <w:rPr>
          <w:rFonts w:eastAsia="Calibri"/>
          <w:color w:val="auto"/>
          <w:szCs w:val="24"/>
          <w:lang w:eastAsia="en-US"/>
        </w:rPr>
        <w:t>.</w:t>
      </w:r>
    </w:p>
    <w:p w14:paraId="204A3BA6" w14:textId="77777777" w:rsidR="003516A7" w:rsidRDefault="003516A7" w:rsidP="003516A7">
      <w:pPr>
        <w:keepNext/>
        <w:keepLines/>
        <w:spacing w:before="40" w:after="0"/>
        <w:outlineLvl w:val="1"/>
        <w:rPr>
          <w:rFonts w:eastAsia="Calibri"/>
          <w:color w:val="auto"/>
          <w:sz w:val="26"/>
          <w:szCs w:val="26"/>
          <w:lang w:eastAsia="en-US"/>
        </w:rPr>
      </w:pPr>
      <w:bookmarkStart w:id="11" w:name="_Toc462576792"/>
    </w:p>
    <w:p w14:paraId="5ADF215A" w14:textId="77777777" w:rsidR="003516A7" w:rsidRPr="007F1B6E" w:rsidRDefault="003516A7" w:rsidP="007F1B6E">
      <w:pPr>
        <w:pStyle w:val="Cabealho2"/>
        <w:rPr>
          <w:rFonts w:ascii="Times New Roman" w:eastAsia="Calibri" w:hAnsi="Times New Roman" w:cs="Times New Roman"/>
          <w:color w:val="auto"/>
          <w:lang w:eastAsia="en-US"/>
        </w:rPr>
      </w:pPr>
      <w:bookmarkStart w:id="12" w:name="_Toc479154807"/>
      <w:r w:rsidRPr="008474BA">
        <w:rPr>
          <w:rFonts w:ascii="Times New Roman" w:eastAsia="Calibri" w:hAnsi="Times New Roman" w:cs="Times New Roman"/>
          <w:color w:val="auto"/>
          <w:lang w:eastAsia="en-US"/>
        </w:rPr>
        <w:t>1.3. Propriedades qualitativas do fruto</w:t>
      </w:r>
      <w:bookmarkEnd w:id="11"/>
      <w:bookmarkEnd w:id="12"/>
    </w:p>
    <w:p w14:paraId="3D0F4F90" w14:textId="77777777" w:rsidR="003516A7" w:rsidRPr="008474BA" w:rsidRDefault="003516A7" w:rsidP="008474BA">
      <w:pPr>
        <w:pStyle w:val="Cabealho3"/>
        <w:rPr>
          <w:rFonts w:ascii="Times New Roman" w:hAnsi="Times New Roman" w:cs="Times New Roman"/>
          <w:color w:val="auto"/>
        </w:rPr>
      </w:pPr>
      <w:bookmarkStart w:id="13" w:name="_Toc462576793"/>
      <w:bookmarkStart w:id="14" w:name="_Toc479154808"/>
      <w:r w:rsidRPr="008474BA">
        <w:rPr>
          <w:rFonts w:ascii="Times New Roman" w:hAnsi="Times New Roman" w:cs="Times New Roman"/>
          <w:color w:val="auto"/>
        </w:rPr>
        <w:t xml:space="preserve">1.3.1 Radicais livres e </w:t>
      </w:r>
      <w:proofErr w:type="gramStart"/>
      <w:r w:rsidRPr="008474BA">
        <w:rPr>
          <w:rFonts w:ascii="Times New Roman" w:hAnsi="Times New Roman" w:cs="Times New Roman"/>
          <w:color w:val="auto"/>
        </w:rPr>
        <w:t>stress</w:t>
      </w:r>
      <w:proofErr w:type="gramEnd"/>
      <w:r w:rsidRPr="008474BA">
        <w:rPr>
          <w:rFonts w:ascii="Times New Roman" w:hAnsi="Times New Roman" w:cs="Times New Roman"/>
          <w:color w:val="auto"/>
        </w:rPr>
        <w:t xml:space="preserve"> oxidativo</w:t>
      </w:r>
      <w:bookmarkEnd w:id="13"/>
      <w:bookmarkEnd w:id="14"/>
    </w:p>
    <w:p w14:paraId="0F6C274D" w14:textId="77777777" w:rsidR="003516A7" w:rsidRPr="003516A7" w:rsidRDefault="003516A7" w:rsidP="008474BA">
      <w:pPr>
        <w:pStyle w:val="Cabealho4"/>
      </w:pPr>
    </w:p>
    <w:p w14:paraId="432C5C3C" w14:textId="5CB883B8" w:rsidR="003516A7" w:rsidRPr="003516A7" w:rsidRDefault="003516A7" w:rsidP="003516A7">
      <w:pPr>
        <w:tabs>
          <w:tab w:val="left" w:pos="5814"/>
        </w:tabs>
        <w:spacing w:after="160" w:line="360" w:lineRule="auto"/>
        <w:ind w:left="0" w:right="0" w:firstLine="0"/>
      </w:pPr>
      <w:r w:rsidRPr="003516A7">
        <w:t xml:space="preserve">Os radicais livres são substâncias químicas altamente reativas capazes de existência independente contendo um ou mais eletrões desemparelhados numa orbita atómica </w:t>
      </w:r>
      <w:r w:rsidRPr="003516A7">
        <w:fldChar w:fldCharType="begin" w:fldLock="1"/>
      </w:r>
      <w:r w:rsidR="004C0F6E">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"id" : "ITEM-2",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"ITEM-2", "issued" : { "date-parts" : [ [ "2013" ] ] }, "page" : "11", "title" : "Achieving the Balance between ROS and Antioxidants : When to Use the Synthetic Antioxidants", "type" : "article-journal", "volume" : "2013" }, "uris" : [ "http://www.mendeley.com/documents/?uuid=6a4fd643-3b9f-48f9-ac11-0230a16cc4a1" ] }, { "id" : "ITEM-3", "itemData" : { "DOI" : "10.1104/pp.106.077073.312", "author" : [ { "dropping-particle" : "", "family" : "Halliwell", "given" : "Barry", "non-dropping-particle" : "", "parse-names" : false, "suffix" : "" } ], "container-title" : "Plant physiology", "id" : "ITEM-3", "issue" : "2", "issued" : { "date-parts" : [ [ "2006" ] ] }, "page" : "312-322", "title" : "Reactive Species and Antioxidants . Redox Biology Is a Fundamental Theme of Aerobic Life", "type" : "article-journal", "volume" : "141" }, "uris" : [ "http://www.mendeley.com/documents/?uuid=852b2609-2d81-41bb-8c90-9e1ac1e061e7" ] } ], "mendeley" : { "formattedCitation" : "(Halliwell, 2006; Poljsak, \u0160uput, &amp; Milisav, 2013; Young &amp; Woodside, 2001)", "manualFormatting" : "(Halliwell, 2006; Poljsak et al., 2013; Young &amp; Woodside, 2001)", "plainTextFormattedCitation" : "(Halliwell, 2006; Poljsak, \u0160uput, &amp; Milisav, 2013; Young &amp; Woodside, 2001)", "previouslyFormattedCitation" : "(Halliwell, 2006; Poljsak, \u0160uput, &amp; Milisav, 2013; Young &amp; Woodside, 2001)" }, "properties" : { "noteIndex" : 0 }, "schema" : "https://github.com/citation-style-language/schema/raw/master/csl-citation.json" }</w:instrText>
      </w:r>
      <w:r w:rsidRPr="003516A7">
        <w:fldChar w:fldCharType="separate"/>
      </w:r>
      <w:r w:rsidRPr="003516A7">
        <w:rPr>
          <w:noProof/>
        </w:rPr>
        <w:t>(Halliwell,</w:t>
      </w:r>
      <w:r w:rsidR="00595DB0">
        <w:rPr>
          <w:noProof/>
        </w:rPr>
        <w:t xml:space="preserve"> 2006; Poljsak et al.</w:t>
      </w:r>
      <w:r w:rsidRPr="003516A7">
        <w:rPr>
          <w:noProof/>
        </w:rPr>
        <w:t>, 2013; Young &amp; Woodside, 2001)</w:t>
      </w:r>
      <w:r w:rsidRPr="003516A7">
        <w:fldChar w:fldCharType="end"/>
      </w:r>
    </w:p>
    <w:p w14:paraId="17DB4A88"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Muitos dos radicais podem doar ou extrair um eletrão a partir de outras moléculas comportando-se como oxidantes ou redutores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"id" : "ITEM-2", "itemData" : { "DOI" : "10.1104/pp.106.077073.312", "author" : [ { "dropping-particle" : "", "family" : "Halliwell", "given" : "Barry", "non-dropping-particle" : "", "parse-names" : false, "suffix" : "" } ], "container-title" : "Plant physiology", "id" : "ITEM-2", "issue" : "2", "issued" : { "date-parts" : [ [ "2006" ] ] }, "page" : "312-322", "title" : "Reactive Species and Antioxidants . Redox Biology Is a Fundamental Theme of Aerobic Life", "type" : "article-journal", "volume" : "141" }, "uris" : [ "http://www.mendeley.com/documents/?uuid=852b2609-2d81-41bb-8c90-9e1ac1e061e7" ] } ], "mendeley" : { "formattedCitation" : "(Halliwell, 2006; Young &amp; Woodside, 2001)", "plainTextFormattedCitation" : "(Halliwell, 2006; Young &amp; Woodside, 2001)", "previouslyFormattedCitation" : "(Halliwell, 2006;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(Halliwell, 2006; Young &amp; Woodside, 2001)</w:t>
      </w:r>
      <w:r w:rsidRPr="003516A7">
        <w:rPr>
          <w:rFonts w:eastAsia="Calibri"/>
          <w:color w:val="auto"/>
          <w:szCs w:val="24"/>
          <w:lang w:eastAsia="en-US"/>
        </w:rPr>
        <w:fldChar w:fldCharType="end"/>
      </w:r>
      <w:r w:rsidRPr="003516A7">
        <w:rPr>
          <w:rFonts w:eastAsia="Calibri"/>
          <w:color w:val="auto"/>
          <w:szCs w:val="24"/>
          <w:lang w:eastAsia="en-US"/>
        </w:rPr>
        <w:t>.</w:t>
      </w:r>
    </w:p>
    <w:p w14:paraId="52C709FD" w14:textId="1132CEF1"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A formação de radicais no organismo advém de fatores exógenos ou endógenos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"id" : "ITEM-2", "itemData" : { "DOI" : "0892-6638/87/0001-0441", "author" : [ { "dropping-particle" : "", "family" : "Machlin", "given" : "Lawrence J.", "non-dropping-particle" : "", "parse-names" : false, "suffix" : "" }, { "dropping-particle" : "", "family" : "Bendich", "given" : "Adrianne", "non-dropping-particle" : "", "parse-names" : false, "suffix" : "" } ], "container-title" : "Clinical Nutrition", "id" : "ITEM-2", "issue" : "6", "issued" : { "date-parts" : [ [ "1987" ] ] }, "page" : "441-445", "title" : "Free radical tissue damage : protective role of antioxidant nutrients", "type" : "article-journal", "volume" : "1" }, "uris" : [ "http://www.mendeley.com/documents/?uuid=49992b36-8a8e-42ee-b4fd-8755f4e1027b" ] } ], "mendeley" : { "formattedCitation" : "(Machlin &amp; Bendich, 1987; Young &amp; Woodside, 2001)", "plainTextFormattedCitation" : "(Machlin &amp; Bendich, 1987; Young &amp; Woodside, 2001)", "previouslyFormattedCitation" : "(Machlin &amp; Bendich, 1987;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(Machlin &amp; Bendich, 1987; Young &amp; Woodside, 2001)</w:t>
      </w:r>
      <w:r w:rsidRPr="003516A7">
        <w:rPr>
          <w:rFonts w:eastAsia="Calibri"/>
          <w:color w:val="auto"/>
          <w:szCs w:val="24"/>
          <w:lang w:eastAsia="en-US"/>
        </w:rPr>
        <w:fldChar w:fldCharType="end"/>
      </w:r>
      <w:r w:rsidRPr="003516A7">
        <w:rPr>
          <w:rFonts w:eastAsia="Calibri"/>
          <w:color w:val="auto"/>
          <w:szCs w:val="24"/>
          <w:lang w:eastAsia="en-US"/>
        </w:rPr>
        <w:t>. Endogenamente os radicais são criados a partir das células quando criam energia através dos alimentos e oxigénio, e quando sofrem infeções microbianas, no caso de serem formados a partir de fontes exógenas pode ser derivado de exercício físico excessivo, poluentes ou toxinas, fumo de tabaco, álcool, ionizantes, radiações UV, pesticidas, etc</w:t>
      </w:r>
      <w:r w:rsidR="00A523A3">
        <w:rPr>
          <w:rFonts w:eastAsia="Calibri"/>
          <w:color w:val="auto"/>
          <w:szCs w:val="24"/>
          <w:lang w:eastAsia="en-US"/>
        </w:rPr>
        <w:t xml:space="preserve">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"id" : "ITEM-2", "itemData" : { "DOI" : "0892-6638/87/0001-0441", "author" : [ { "dropping-particle" : "", "family" : "Machlin", "given" : "Lawrence J.", "non-dropping-particle" : "", "parse-names" : false, "suffix" : "" }, { "dropping-particle" : "", "family" : "Bendich", "given" : "Adrianne", "non-dropping-particle" : "", "parse-names" : false, "suffix" : "" } ], "container-title" : "Clinical Nutrition", "id" : "ITEM-2", "issue" : "6", "issued" : { "date-parts" : [ [ "1987" ] ] }, "page" : "441-445", "title" : "Free radical tissue damage : protective role of antioxidant nutrients", "type" : "article-journal", "volume" : "1" }, "uris" : [ "http://www.mendeley.com/documents/?uuid=49992b36-8a8e-42ee-b4fd-8755f4e1027b" ] } ], "mendeley" : { "formattedCitation" : "(Machlin &amp; Bendich, 1987; Poljsak et al., 2013)", "plainTextFormattedCitation" : "(Machlin &amp; Bendich, 1987; Poljsak et al., 2013)", "previouslyFormattedCitation" : "(Machlin &amp; Bendich, 1987;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(Machlin &amp; Bendich, 1987; Poljsak et al., 2013)</w:t>
      </w:r>
      <w:r w:rsidRPr="003516A7">
        <w:rPr>
          <w:rFonts w:eastAsia="Calibri"/>
          <w:color w:val="auto"/>
          <w:szCs w:val="24"/>
          <w:lang w:eastAsia="en-US"/>
        </w:rPr>
        <w:fldChar w:fldCharType="end"/>
      </w:r>
      <w:r w:rsidR="00A523A3">
        <w:rPr>
          <w:rFonts w:eastAsia="Calibri"/>
          <w:color w:val="auto"/>
          <w:szCs w:val="24"/>
          <w:lang w:eastAsia="en-US"/>
        </w:rPr>
        <w:t>.</w:t>
      </w:r>
    </w:p>
    <w:p w14:paraId="38D70CCC"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Há evidências que os radicais livres no nosso organismo contribuem para inúmeros danos nos tecidos por meio de reações com ácidos gordos, poli insaturados nas membranas celulares, nucleótidos do ADN e ligações sulfidrilo em proteínas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"0892-6638/87/0001-0441", "author" : [ { "dropping-particle" : "", "family" : "Machlin", "given" : "Lawrence J.", "non-dropping-particle" : "", "parse-names" : false, "suffix" : "" }, { "dropping-particle" : "", "family" : "Bendich", "given" : "Adrianne", "non-dropping-particle" : "", "parse-names" : false, "suffix" : "" } ], "container-title" : "Clinical Nutrition", "id" : "ITEM-1", "issue" : "6", "issued" : { "date-parts" : [ [ "1987" ] ] }, "page" : "441-445", "title" : "Free radical tissue damage : protective role of antioxidant nutrients", "type" : "article-journal", "volume" : "1" }, "uris" : [ "http://www.mendeley.com/documents/?uuid=49992b36-8a8e-42ee-b4fd-8755f4e1027b" ] } ], "mendeley" : { "formattedCitation" : "(Machlin &amp; Bendich, 1987)", "plainTextFormattedCitation" : "(Machlin &amp; Bendich, 1987)", "previouslyFormattedCitation" : "(Machlin &amp; Bendich, 1987)"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(Machlin &amp; Bendich, 1987)</w:t>
      </w:r>
      <w:r w:rsidRPr="003516A7">
        <w:rPr>
          <w:rFonts w:eastAsia="Calibri"/>
          <w:color w:val="auto"/>
          <w:szCs w:val="24"/>
          <w:lang w:eastAsia="en-US"/>
        </w:rPr>
        <w:fldChar w:fldCharType="end"/>
      </w:r>
      <w:r w:rsidRPr="003516A7">
        <w:rPr>
          <w:rFonts w:eastAsia="Calibri"/>
          <w:color w:val="auto"/>
          <w:szCs w:val="24"/>
          <w:lang w:eastAsia="en-US"/>
        </w:rPr>
        <w:t>.</w:t>
      </w:r>
    </w:p>
    <w:p w14:paraId="2D12B871" w14:textId="41585758"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No entanto os radicais livres também têm as suas vantagens, pois em concentrações moderadas estes são imprescindíveis em várias funções biológicas (inflamações, </w:t>
      </w:r>
      <w:r w:rsidR="008474BA" w:rsidRPr="003516A7">
        <w:rPr>
          <w:rFonts w:eastAsia="Calibri"/>
          <w:color w:val="auto"/>
          <w:szCs w:val="24"/>
          <w:lang w:eastAsia="en-US"/>
        </w:rPr>
        <w:t>infeções</w:t>
      </w:r>
      <w:r w:rsidRPr="003516A7">
        <w:rPr>
          <w:rFonts w:eastAsia="Calibri"/>
          <w:color w:val="auto"/>
          <w:szCs w:val="24"/>
          <w:lang w:eastAsia="en-US"/>
        </w:rPr>
        <w:t xml:space="preserve"> e sistemas de sinalização celular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"author" : [ { "dropping-particle" : "", "family" : "Ferreira", "given" : "Isabel CFR", "non-dropping-particle" : "", "parse-names" : false, "suffix" : "" }, { "dropping-particle" : "", "family" : "Abreu", "given" : "Rui MV", "non-dropping-particle" : "", "parse-names" : false, "suffix" : "" } ], "container-title" : "Bioan\u00e1lise", "id" : "ITEM-1", "issued" : { "date-parts" : [ [ "2007" ] ] }, "page" : "32-39", "title" : "Stress Oxidativo, Antioxidantes e Fitoqu\u00edmicos", "type" : "article-journal", "volume" : "2" }, "uris" : [ "http://www.mendeley.com/documents/?uuid=ce11fa0b-e736-482e-a760-107a06b1d596" ] }, { "id" : "ITEM-2",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"ITEM-2", "issued" : { "date-parts" : [ [ "2013" ] ] }, "page" : "11", "title" : "Achieving the Balance between ROS and Antioxidants : When to Use the Synthetic Antioxidants", "type" : "article-journal", "volume" : "2013" }, "uris" : [ "http://www.mendeley.com/documents/?uuid=6a4fd643-3b9f-48f9-ac11-0230a16cc4a1" ] } ], "mendeley" : { "formattedCitation" : "(I. C. Ferreira &amp; Abreu, 2007; Poljsak et al., 2013)", "manualFormatting" : "( Ferreira &amp; Abreu, 2007; Poljsak et al., 2013)", "plainTextFormattedCitation" : "(I. C. Ferreira &amp; Abreu, 2007; Poljsak et al., 2013)", "previouslyFormattedCitation" : "(I. C. Ferreira &amp; Abreu, 2007;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 Ferreira &amp; Abreu, 2007; Poljsak et al., 2013)</w:t>
      </w:r>
      <w:r w:rsidRPr="003516A7">
        <w:rPr>
          <w:rFonts w:eastAsia="Calibri"/>
          <w:color w:val="auto"/>
          <w:szCs w:val="24"/>
          <w:lang w:eastAsia="en-US"/>
        </w:rPr>
        <w:fldChar w:fldCharType="end"/>
      </w:r>
    </w:p>
    <w:p w14:paraId="423A81B8" w14:textId="51C66AED"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Nos organismos aeróbios os radicais livres apresentam-se sob a forma de espécies reativas devido à oxidação de um substrato oxidável como oxigénio ou azoto </w:t>
      </w:r>
      <w:r w:rsidRPr="003516A7">
        <w:rPr>
          <w:rFonts w:eastAsia="Calibri"/>
          <w:color w:val="auto"/>
          <w:szCs w:val="24"/>
          <w:lang w:eastAsia="en-US"/>
        </w:rPr>
        <w:fldChar w:fldCharType="begin" w:fldLock="1"/>
      </w:r>
      <w:r w:rsidR="00170389">
        <w:rPr>
          <w:rFonts w:eastAsia="Calibri"/>
          <w:color w:val="auto"/>
          <w:szCs w:val="24"/>
          <w:lang w:eastAsia="en-US"/>
        </w:rPr>
        <w:instrText>ADDIN CSL_CITATION { "citationItems" : [ { "id" : "ITEM-1", "itemData" : { "DOI" : "10.4236/fns.2013.46083", "author" : [ { "dropping-particle" : "", "family" : "Shebis", "given" : "Yevgenia", "non-dropping-particle" : "", "parse-names" : false, "suffix" : "" }, { "dropping-particle" : "", "family" : "Iluz", "given" : "David", "non-dropping-particle" : "", "parse-names" : false, "suffix" : "" }, { "dropping-particle" : "", "family" : "Kinel-tahan", "given" : "Yael", "non-dropping-particle" : "", "parse-names" : false, "suffix" : "" }, { "dropping-particle" : "", "family" : "Dubinsky", "given" : "Zvy", "non-dropping-particle" : "", "parse-names" : false, "suffix" : "" }, { "dropping-particle" : "", "family" : "Yehoshua", "given" : "Yaron", "non-dropping-particle" : "", "parse-names" : false, "suffix" : "" } ], "container-title" : "Food and Nutrition Sciences", "id" : "ITEM-1", "issued" : { "date-parts" : [ [ "2013" ] ] }, "page" : "643-649", "title" : "Natural Antioxidants : Function and Sources", "type" : "article-journal", "volume" : "4" }, "uris" : [ "http://www.mendeley.com/documents/?uuid=e9abd881-6dc6-447b-83fd-d8a02f5dffd3" ] } ], "mendeley" : { "formattedCitation" : "(Shebis, Iluz, Kinel-tahan, Dubinsky, &amp; Yehoshua, 2013)", "manualFormatting" : "(Shebis et al., 2013)", "plainTextFormattedCitation" : "(Shebis, Iluz, Kinel-tahan, Dubinsky, &amp; Yehoshua, 2013)", "previouslyFormattedCitation" : "(Shebis, Iluz, Kinel-tahan, Dubinsky, &amp; Yehoshua, 2013)" }, "properties" : { "noteIndex" : 0 }, "schema" : "https://github.com/citation-style-language/schema/raw/master/csl-citation.json" }</w:instrText>
      </w:r>
      <w:r w:rsidRPr="003516A7">
        <w:rPr>
          <w:rFonts w:eastAsia="Calibri"/>
          <w:color w:val="auto"/>
          <w:szCs w:val="24"/>
          <w:lang w:eastAsia="en-US"/>
        </w:rPr>
        <w:fldChar w:fldCharType="separate"/>
      </w:r>
      <w:r w:rsidR="00336D9E">
        <w:rPr>
          <w:rFonts w:eastAsia="Calibri"/>
          <w:noProof/>
          <w:color w:val="auto"/>
          <w:szCs w:val="24"/>
          <w:lang w:eastAsia="en-US"/>
        </w:rPr>
        <w:t>(Shebis et al.</w:t>
      </w:r>
      <w:r w:rsidRPr="003516A7">
        <w:rPr>
          <w:rFonts w:eastAsia="Calibri"/>
          <w:noProof/>
          <w:color w:val="auto"/>
          <w:szCs w:val="24"/>
          <w:lang w:eastAsia="en-US"/>
        </w:rPr>
        <w:t>, 2013)</w:t>
      </w:r>
      <w:r w:rsidRPr="003516A7">
        <w:rPr>
          <w:rFonts w:eastAsia="Calibri"/>
          <w:color w:val="auto"/>
          <w:szCs w:val="24"/>
          <w:lang w:eastAsia="en-US"/>
        </w:rPr>
        <w:fldChar w:fldCharType="end"/>
      </w:r>
      <w:r w:rsidRPr="003516A7">
        <w:rPr>
          <w:rFonts w:eastAsia="Calibri"/>
          <w:color w:val="auto"/>
          <w:szCs w:val="24"/>
          <w:lang w:eastAsia="en-US"/>
        </w:rPr>
        <w:t>. Sendo estas conhecidas por espécies r</w:t>
      </w:r>
      <w:r w:rsidR="00336D9E">
        <w:rPr>
          <w:rFonts w:eastAsia="Calibri"/>
          <w:color w:val="auto"/>
          <w:szCs w:val="24"/>
          <w:lang w:eastAsia="en-US"/>
        </w:rPr>
        <w:t>eativas de oxigénio (ROS), que são</w:t>
      </w:r>
      <w:r w:rsidRPr="003516A7">
        <w:rPr>
          <w:rFonts w:eastAsia="Calibri"/>
          <w:color w:val="auto"/>
          <w:szCs w:val="24"/>
          <w:lang w:eastAsia="en-US"/>
        </w:rPr>
        <w:t xml:space="preserve"> a</w:t>
      </w:r>
      <w:r w:rsidR="00336D9E">
        <w:rPr>
          <w:rFonts w:eastAsia="Calibri"/>
          <w:color w:val="auto"/>
          <w:szCs w:val="24"/>
          <w:lang w:eastAsia="en-US"/>
        </w:rPr>
        <w:t>s</w:t>
      </w:r>
      <w:r w:rsidRPr="003516A7">
        <w:rPr>
          <w:rFonts w:eastAsia="Calibri"/>
          <w:color w:val="auto"/>
          <w:szCs w:val="24"/>
          <w:lang w:eastAsia="en-US"/>
        </w:rPr>
        <w:t xml:space="preserve"> </w:t>
      </w:r>
      <w:r w:rsidRPr="003516A7">
        <w:rPr>
          <w:rFonts w:eastAsia="Calibri"/>
          <w:color w:val="auto"/>
          <w:szCs w:val="24"/>
          <w:lang w:eastAsia="en-US"/>
        </w:rPr>
        <w:lastRenderedPageBreak/>
        <w:t>principa</w:t>
      </w:r>
      <w:r w:rsidR="00336D9E">
        <w:rPr>
          <w:rFonts w:eastAsia="Calibri"/>
          <w:color w:val="auto"/>
          <w:szCs w:val="24"/>
          <w:lang w:eastAsia="en-US"/>
        </w:rPr>
        <w:t>is</w:t>
      </w:r>
      <w:r w:rsidRPr="003516A7">
        <w:rPr>
          <w:rFonts w:eastAsia="Calibri"/>
          <w:color w:val="auto"/>
          <w:szCs w:val="24"/>
          <w:lang w:eastAsia="en-US"/>
        </w:rPr>
        <w:t xml:space="preserve">, e as espécies reativas de azoto (RNS) </w:t>
      </w:r>
      <w:r w:rsidRPr="003516A7">
        <w:rPr>
          <w:rFonts w:eastAsia="Calibri"/>
          <w:color w:val="auto"/>
          <w:szCs w:val="24"/>
          <w:lang w:eastAsia="en-US"/>
        </w:rPr>
        <w:fldChar w:fldCharType="begin" w:fldLock="1"/>
      </w:r>
      <w:r w:rsidR="00703FCF">
        <w:rPr>
          <w:rFonts w:eastAsia="Calibri"/>
          <w:color w:val="auto"/>
          <w:szCs w:val="24"/>
          <w:lang w:eastAsia="en-US"/>
        </w:rPr>
        <w:instrText>ADDIN CSL_CITATION { "citationItems" : [ { "id" : "ITEM-1", "itemData" : { "author" : [ { "dropping-particle" : "", "family" : "Vasconcelos", "given" : "Sandra Mary Lima", "non-dropping-particle" : "", "parse-names" : false, "suffix" : "" }, { "dropping-particle" : "", "family" : "Goulart", "given" : "Mar\u00edlia Oliveira Fonseca", "non-dropping-particle" : "", "parse-names" : false, "suffix" : "" }, { "dropping-particle" : "", "family" : "Moura", "given" : "Jos\u00e9 Benedito de Fran\u00e7a", "non-dropping-particle" : "", "parse-names" : false, "suffix" : "" }, { "dropping-particle" : "", "family" : "Kubota", "given" : "Lauro Tatsuo", "non-dropping-particle" : "", "parse-names" : false, "suffix" : "" }, { "dropping-particle" : "", "family" : "Manfredini", "given" : "Vanusa", "non-dropping-particle" : "", "parse-names" : false, "suffix" : "" }, { "dropping-particle" : "", "family" : "Benfato", "given" : "Mara da Silveira", "non-dropping-particle" : "", "parse-names" : false, "suffix" : "" } ], "container-title" : "Quim. Nova", "id" : "ITEM-1", "issue" : "5", "issued" : { "date-parts" : [ [ "2007" ] ] }, "page" : "1323-1338", "title" : "Reactive oxygen and nitrogen species, antioxidants and markers of oxidative damege in human blood: main analytical methods for their determination", "type" : "article-journal", "volume" : "30" }, "uris" : [ "http://www.mendeley.com/documents/?uuid=700bd480-a2d8-471d-90cc-4a58b80d58d1" ] }, { "id" : "ITEM-2",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"ITEM-2", "issue" : "3", "issued" : { "date-parts" : [ [ "2001" ] ] }, "page" : "176-186", "title" : "Antioxidants in health and disease", "type" : "article-journal", "volume" : "54" }, "uris" : [ "http://www.mendeley.com/documents/?uuid=9dae6719-250c-475c-b7ff-4ad47cc39442" ] }, { "id" : "ITEM-3", "itemData" : { "author" : [ { "dropping-particle" : "", "family" : "Ferreira", "given" : "Isabel CFR", "non-dropping-particle" : "", "parse-names" : false, "suffix" : "" }, { "dropping-particle" : "", "family" : "Abreu", "given" : "Rui MV", "non-dropping-particle" : "", "parse-names" : false, "suffix" : "" } ], "container-title" : "Bioan\u00e1lise", "id" : "ITEM-3", "issued" : { "date-parts" : [ [ "2007" ] ] }, "page" : "32-39", "title" : "Stress Oxidativo, Antioxidantes e Fitoqu\u00edmicos", "type" : "article-journal", "volume" : "2" }, "uris" : [ "http://www.mendeley.com/documents/?uuid=ce11fa0b-e736-482e-a760-107a06b1d596" ] }, { "id" : "ITEM-4", "itemData" : { "DOI" : "10.4236/fns.2013.46083", "author" : [ { "dropping-particle" : "", "family" : "Shebis", "given" : "Yevgenia", "non-dropping-particle" : "", "parse-names" : false, "suffix" : "" }, { "dropping-particle" : "", "family" : "Iluz", "given" : "David", "non-dropping-particle" : "", "parse-names" : false, "suffix" : "" }, { "dropping-particle" : "", "family" : "Kinel-tahan", "given" : "Yael", "non-dropping-particle" : "", "parse-names" : false, "suffix" : "" }, { "dropping-particle" : "", "family" : "Dubinsky", "given" : "Zvy", "non-dropping-particle" : "", "parse-names" : false, "suffix" : "" }, { "dropping-particle" : "", "family" : "Yehoshua", "given" : "Yaron", "non-dropping-particle" : "", "parse-names" : false, "suffix" : "" } ], "container-title" : "Food and Nutrition Sciences", "id" : "ITEM-4", "issued" : { "date-parts" : [ [ "2013" ] ] }, "page" : "643-649", "title" : "Natural Antioxidants : Function and Sources", "type" : "article-journal", "volume" : "4" }, "uris" : [ "http://www.mendeley.com/documents/?uuid=e9abd881-6dc6-447b-83fd-d8a02f5dffd3" ] } ], "mendeley" : { "formattedCitation" : "(I. C. Ferreira &amp; Abreu, 2007; Shebis et al., 2013; Vasconcelos et al., 2007; Young &amp; Woodside, 2001)", "manualFormatting" : " (Ferreira &amp; Abreu, 2007; Shebis et al., 2013; Vasconcelos et al., 2007; Young &amp; Woodside, 2001)", "plainTextFormattedCitation" : "(I. C. Ferreira &amp; Abreu, 2007; Shebis et al., 2013; Vasconcelos et al., 2007; Young &amp; Woodside, 2001)", "previouslyFormattedCitation" : "(I. C. Ferreira &amp; Abreu, 2007; Shebis et al., 2013; Vasconcelos et al., 2007;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 xml:space="preserve"> </w:t>
      </w:r>
      <w:r w:rsidR="00703FCF">
        <w:rPr>
          <w:rFonts w:eastAsia="Calibri"/>
          <w:noProof/>
          <w:color w:val="auto"/>
          <w:szCs w:val="24"/>
          <w:lang w:eastAsia="en-US"/>
        </w:rPr>
        <w:t>(</w:t>
      </w:r>
      <w:r w:rsidRPr="003516A7">
        <w:rPr>
          <w:rFonts w:eastAsia="Calibri"/>
          <w:noProof/>
          <w:color w:val="auto"/>
          <w:szCs w:val="24"/>
          <w:lang w:eastAsia="en-US"/>
        </w:rPr>
        <w:t>Ferreira &amp; Abreu, 2007; Shebis et al., 2013; Vasconcelos et al., 2007; Young &amp; Woodside, 2001)</w:t>
      </w:r>
      <w:r w:rsidRPr="003516A7">
        <w:rPr>
          <w:rFonts w:eastAsia="Calibri"/>
          <w:color w:val="auto"/>
          <w:szCs w:val="24"/>
          <w:lang w:eastAsia="en-US"/>
        </w:rPr>
        <w:fldChar w:fldCharType="end"/>
      </w:r>
      <w:r w:rsidRPr="003516A7">
        <w:rPr>
          <w:rFonts w:eastAsia="Calibri"/>
          <w:color w:val="auto"/>
          <w:szCs w:val="24"/>
          <w:lang w:eastAsia="en-US"/>
        </w:rPr>
        <w:t>.</w:t>
      </w:r>
    </w:p>
    <w:p w14:paraId="598F524C" w14:textId="4183C90F"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Estas espécies reativas são integrantes do metabolismo humano e observada em diversas funções biológicas como na produção de energia, na fagocitose, regulação de crescimento celular, como fatores de transição na sinalização intracelular, e na síntese de substâncias biológicas </w:t>
      </w:r>
      <w:r w:rsidRPr="003516A7">
        <w:rPr>
          <w:rFonts w:eastAsia="Calibri"/>
          <w:color w:val="auto"/>
          <w:szCs w:val="24"/>
          <w:lang w:eastAsia="en-US"/>
        </w:rPr>
        <w:fldChar w:fldCharType="begin" w:fldLock="1"/>
      </w:r>
      <w:r w:rsidR="00D73AD0">
        <w:rPr>
          <w:rFonts w:eastAsia="Calibri"/>
          <w:color w:val="auto"/>
          <w:szCs w:val="24"/>
          <w:lang w:eastAsia="en-US"/>
        </w:rPr>
        <w:instrText>ADDIN CSL_CITATION { "citationItems" : [ { "id" : "ITEM-1", "itemData" : { "DOI" : "10.4236/fns.2013.46083", "author" : [ { "dropping-particle" : "", "family" : "Shebis", "given" : "Yevgenia", "non-dropping-particle" : "", "parse-names" : false, "suffix" : "" }, { "dropping-particle" : "", "family" : "Iluz", "given" : "David", "non-dropping-particle" : "", "parse-names" : false, "suffix" : "" }, { "dropping-particle" : "", "family" : "Kinel-tahan", "given" : "Yael", "non-dropping-particle" : "", "parse-names" : false, "suffix" : "" }, { "dropping-particle" : "", "family" : "Dubinsky", "given" : "Zvy", "non-dropping-particle" : "", "parse-names" : false, "suffix" : "" }, { "dropping-particle" : "", "family" : "Yehoshua", "given" : "Yaron", "non-dropping-particle" : "", "parse-names" : false, "suffix" : "" } ], "container-title" : "Food and Nutrition Sciences", "id" : "ITEM-1", "issued" : { "date-parts" : [ [ "2013" ] ] }, "page" : "643-649", "title" : "Natural Antioxidants : Function and Sources", "type" : "article-journal", "volume" : "4" }, "uris" : [ "http://www.mendeley.com/documents/?uuid=e9abd881-6dc6-447b-83fd-d8a02f5dffd3" ] }, { "id" : "ITEM-2", "itemData" : { "author" : [ { "dropping-particle" : "", "family" : "Vasconcelos", "given" : "Sandra Mary Lima", "non-dropping-particle" : "", "parse-names" : false, "suffix" : "" }, { "dropping-particle" : "", "family" : "Goulart", "given" : "Mar\u00edlia Oliveira Fonseca", "non-dropping-particle" : "", "parse-names" : false, "suffix" : "" }, { "dropping-particle" : "", "family" : "Moura", "given" : "Jos\u00e9 Benedito de Fran\u00e7a", "non-dropping-particle" : "", "parse-names" : false, "suffix" : "" }, { "dropping-particle" : "", "family" : "Kubota", "given" : "Lauro Tatsuo", "non-dropping-particle" : "", "parse-names" : false, "suffix" : "" }, { "dropping-particle" : "", "family" : "Manfredini", "given" : "Vanusa", "non-dropping-particle" : "", "parse-names" : false, "suffix" : "" }, { "dropping-particle" : "", "family" : "Benfato", "given" : "Mara da Silveira", "non-dropping-particle" : "", "parse-names" : false, "suffix" : "" } ], "container-title" : "Quim. Nova", "id" : "ITEM-2", "issue" : "5", "issued" : { "date-parts" : [ [ "2007" ] ] }, "page" : "1323-1338", "title" : "Reactive oxygen and nitrogen species, antioxidants and markers of oxidative damege in human blood: main analytical methods for their determination", "type" : "article-journal", "volume" : "30" }, "uris" : [ "http://www.mendeley.com/documents/?uuid=700bd480-a2d8-471d-90cc-4a58b80d58d1" ] }, { "id" : "ITEM-3", "itemData" : { "author" : [ { "dropping-particle" : "", "family" : "Barreiros", "given" : "Andr\u00e9 L B S", "non-dropping-particle" : "", "parse-names" : false, "suffix" : "" }, { "dropping-particle" : "", "family" : "David", "given" : "Juceni P", "non-dropping-particle" : "", "parse-names" : false, "suffix" : "" } ], "container-title" : "Quim. Nova", "id" : "ITEM-3",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Shebis et al., 2013; Vasconcelos et al., 2007)", "plainTextFormattedCitation" : "(Barreiros &amp; David, 2006; Shebis et al., 2013; Vasconcelos et al., 2007)", "previouslyFormattedCitation" : "(Barreiros &amp; David, 2006; Shebis et al., 2013; Vasconcelos et al.,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Shebis et al., 2013; Vasconcelos et al., 2007)</w:t>
      </w:r>
      <w:r w:rsidRPr="003516A7">
        <w:rPr>
          <w:rFonts w:eastAsia="Calibri"/>
          <w:color w:val="auto"/>
          <w:szCs w:val="24"/>
          <w:lang w:eastAsia="en-US"/>
        </w:rPr>
        <w:fldChar w:fldCharType="end"/>
      </w:r>
      <w:r w:rsidRPr="003516A7">
        <w:rPr>
          <w:rFonts w:eastAsia="Calibri"/>
          <w:color w:val="auto"/>
          <w:szCs w:val="24"/>
          <w:lang w:eastAsia="en-US"/>
        </w:rPr>
        <w:t xml:space="preserve">. Embora a maior parte sejam produtos metabólicos, existem fatores externos como poluição ambiental, radiação eletromagnética e tabagismo que aumentam a produção das espécies reativas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"10.4236/fns.2013.46083", "author" : [ { "dropping-particle" : "", "family" : "Shebis", "given" : "Yevgenia", "non-dropping-particle" : "", "parse-names" : false, "suffix" : "" }, { "dropping-particle" : "", "family" : "Iluz", "given" : "David", "non-dropping-particle" : "", "parse-names" : false, "suffix" : "" }, { "dropping-particle" : "", "family" : "Kinel-tahan", "given" : "Yael", "non-dropping-particle" : "", "parse-names" : false, "suffix" : "" }, { "dropping-particle" : "", "family" : "Dubinsky", "given" : "Zvy", "non-dropping-particle" : "", "parse-names" : false, "suffix" : "" }, { "dropping-particle" : "", "family" : "Yehoshua", "given" : "Yaron", "non-dropping-particle" : "", "parse-names" : false, "suffix" : "" } ], "container-title" : "Food and Nutrition Sciences", "id" : "ITEM-1", "issued" : { "date-parts" : [ [ "2013" ] ] }, "page" : "643-649", "title" : "Natural Antioxidants : Function and Sources", "type" : "article-journal", "volume" : "4" }, "uris" : [ "http://www.mendeley.com/documents/?uuid=e9abd881-6dc6-447b-83fd-d8a02f5dffd3" ] } ], "mendeley" : { "formattedCitation" : "(Shebis et al., 2013)", "plainTextFormattedCitation" : "(Shebis et al., 2013)", "previouslyFormattedCitation" : "(Shebis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(Shebis et al., 2013)</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6A55215F" w14:textId="45D4A6DA"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 seu aumento traz efeitos prejudiciais ao organismo devido à peroxidação dos lípidos da membrana e às agressões aos tecidos e membranas, às enzimas, hidratos de carbono e ao ADN acabando por levar a morte celular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"mendeley" : { "formattedCitation" : "(Poljsak et al., 2013)", "plainTextFormattedCitation" : "(Poljsak et al., 2013)", "previouslyFormattedCitation" :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(Poljsak et al., 2013)</w:t>
      </w:r>
      <w:r w:rsidRPr="003516A7">
        <w:rPr>
          <w:rFonts w:eastAsia="Calibri"/>
          <w:color w:val="auto"/>
          <w:szCs w:val="24"/>
          <w:lang w:eastAsia="en-US"/>
        </w:rPr>
        <w:fldChar w:fldCharType="end"/>
      </w:r>
      <w:r w:rsidRPr="003516A7">
        <w:rPr>
          <w:rFonts w:eastAsia="Calibri"/>
          <w:color w:val="auto"/>
          <w:szCs w:val="24"/>
          <w:lang w:eastAsia="en-US"/>
        </w:rPr>
        <w:t xml:space="preserve">. Podendo ser a causa ou um fator agravante de várias patologias como artrite, choque hemorrágico, doenças de coração, cataratas, disfunções cognitivas, cancro e sida </w:t>
      </w:r>
      <w:r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"plainTextFormattedCitation" : "(Barreiros &amp; David, 2006)", "previouslyFormattedCitation" : "(Barreiros &amp; David,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w:t>
      </w:r>
      <w:r w:rsidRPr="003516A7">
        <w:rPr>
          <w:rFonts w:eastAsia="Calibri"/>
          <w:color w:val="auto"/>
          <w:szCs w:val="24"/>
          <w:lang w:eastAsia="en-US"/>
        </w:rPr>
        <w:fldChar w:fldCharType="end"/>
      </w:r>
      <w:r w:rsidRPr="003516A7">
        <w:rPr>
          <w:rFonts w:eastAsia="Calibri"/>
          <w:color w:val="auto"/>
          <w:szCs w:val="24"/>
          <w:lang w:eastAsia="en-US"/>
        </w:rPr>
        <w:t>.</w:t>
      </w:r>
    </w:p>
    <w:p w14:paraId="5EEE2BB3" w14:textId="3E4D3BE4"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szCs w:val="24"/>
        </w:rPr>
        <w:t>No caso das ROS, estas ocorrem naturalmente a partir de células eucariotas através do metabolismo energético dependente do uso de oxigénio podendo ser formadas em formas radicalares como superóxido (O</w:t>
      </w:r>
      <w:r w:rsidRPr="003516A7">
        <w:rPr>
          <w:szCs w:val="24"/>
          <w:vertAlign w:val="subscript"/>
        </w:rPr>
        <w:t>2</w:t>
      </w:r>
      <w:r w:rsidRPr="003516A7">
        <w:rPr>
          <w:szCs w:val="24"/>
          <w:vertAlign w:val="superscript"/>
        </w:rPr>
        <w:t>•-</w:t>
      </w:r>
      <w:r w:rsidR="00DA0A89">
        <w:rPr>
          <w:szCs w:val="24"/>
        </w:rPr>
        <w:t>), hidroperoxilo</w:t>
      </w:r>
      <w:r w:rsidRPr="003516A7">
        <w:rPr>
          <w:szCs w:val="24"/>
        </w:rPr>
        <w:t xml:space="preserve"> (HO</w:t>
      </w:r>
      <w:r w:rsidRPr="003516A7">
        <w:rPr>
          <w:szCs w:val="24"/>
          <w:vertAlign w:val="subscript"/>
        </w:rPr>
        <w:t>2</w:t>
      </w:r>
      <w:r w:rsidRPr="003516A7">
        <w:rPr>
          <w:szCs w:val="24"/>
          <w:vertAlign w:val="superscript"/>
        </w:rPr>
        <w:t>•</w:t>
      </w:r>
      <w:r w:rsidRPr="003516A7">
        <w:rPr>
          <w:szCs w:val="24"/>
        </w:rPr>
        <w:t>), hidroxil</w:t>
      </w:r>
      <w:r w:rsidR="00DA0A89">
        <w:rPr>
          <w:szCs w:val="24"/>
        </w:rPr>
        <w:t>o</w:t>
      </w:r>
      <w:r w:rsidRPr="003516A7">
        <w:rPr>
          <w:szCs w:val="24"/>
        </w:rPr>
        <w:t xml:space="preserve"> (OH</w:t>
      </w:r>
      <w:r w:rsidRPr="003516A7">
        <w:rPr>
          <w:szCs w:val="24"/>
          <w:vertAlign w:val="superscript"/>
        </w:rPr>
        <w:t>•</w:t>
      </w:r>
      <w:r w:rsidR="00DA0A89">
        <w:rPr>
          <w:szCs w:val="24"/>
        </w:rPr>
        <w:t>), peroxilo</w:t>
      </w:r>
      <w:r w:rsidRPr="003516A7">
        <w:rPr>
          <w:szCs w:val="24"/>
        </w:rPr>
        <w:t xml:space="preserve"> (ROO•) e </w:t>
      </w:r>
      <w:r w:rsidR="00DA0A89">
        <w:rPr>
          <w:rFonts w:eastAsia="Calibri"/>
          <w:color w:val="auto"/>
          <w:szCs w:val="24"/>
          <w:lang w:eastAsia="en-US"/>
        </w:rPr>
        <w:t>alcoxilo</w:t>
      </w:r>
      <w:r w:rsidRPr="003516A7">
        <w:rPr>
          <w:rFonts w:eastAsia="Calibri"/>
          <w:color w:val="auto"/>
          <w:szCs w:val="24"/>
          <w:lang w:eastAsia="en-US"/>
        </w:rPr>
        <w:t xml:space="preserve"> (RO•) e em não radicalares como Peróxido de hidrogénio (H</w:t>
      </w:r>
      <w:r w:rsidRPr="003516A7">
        <w:rPr>
          <w:rFonts w:eastAsia="Calibri"/>
          <w:color w:val="auto"/>
          <w:szCs w:val="24"/>
          <w:vertAlign w:val="subscript"/>
          <w:lang w:eastAsia="en-US"/>
        </w:rPr>
        <w:t>2</w:t>
      </w:r>
      <w:r w:rsidRPr="003516A7">
        <w:rPr>
          <w:rFonts w:eastAsia="Calibri"/>
          <w:color w:val="auto"/>
          <w:szCs w:val="24"/>
          <w:lang w:eastAsia="en-US"/>
        </w:rPr>
        <w:t>O</w:t>
      </w:r>
      <w:r w:rsidRPr="003516A7">
        <w:rPr>
          <w:rFonts w:eastAsia="Calibri"/>
          <w:color w:val="auto"/>
          <w:szCs w:val="24"/>
          <w:vertAlign w:val="subscript"/>
          <w:lang w:eastAsia="en-US"/>
        </w:rPr>
        <w:t>2</w:t>
      </w:r>
      <w:r w:rsidRPr="003516A7">
        <w:rPr>
          <w:rFonts w:eastAsia="Calibri"/>
          <w:color w:val="auto"/>
          <w:szCs w:val="24"/>
          <w:lang w:eastAsia="en-US"/>
        </w:rPr>
        <w:t>), oxigénio singleto (O</w:t>
      </w:r>
      <w:r w:rsidRPr="003516A7">
        <w:rPr>
          <w:rFonts w:eastAsia="Calibri"/>
          <w:color w:val="auto"/>
          <w:szCs w:val="24"/>
          <w:vertAlign w:val="subscript"/>
          <w:lang w:eastAsia="en-US"/>
        </w:rPr>
        <w:t>2</w:t>
      </w:r>
      <w:r w:rsidRPr="003516A7">
        <w:rPr>
          <w:rFonts w:eastAsia="Calibri"/>
          <w:color w:val="auto"/>
          <w:szCs w:val="24"/>
          <w:lang w:eastAsia="en-US"/>
        </w:rPr>
        <w:t>), ácido hipocloroso (HOCl) e ozono (O</w:t>
      </w:r>
      <w:r w:rsidRPr="003516A7">
        <w:rPr>
          <w:rFonts w:eastAsia="Calibri"/>
          <w:color w:val="auto"/>
          <w:szCs w:val="24"/>
          <w:vertAlign w:val="subscript"/>
          <w:lang w:eastAsia="en-US"/>
        </w:rPr>
        <w:t>3</w:t>
      </w:r>
      <w:r w:rsidRPr="003516A7">
        <w:rPr>
          <w:rFonts w:eastAsia="Calibri"/>
          <w:color w:val="auto"/>
          <w:szCs w:val="24"/>
          <w:lang w:eastAsia="en-US"/>
        </w:rPr>
        <w:t xml:space="preserve">) </w:t>
      </w:r>
      <w:r w:rsidRPr="003516A7">
        <w:rPr>
          <w:rFonts w:eastAsia="Calibri"/>
          <w:color w:val="auto"/>
          <w:szCs w:val="24"/>
          <w:lang w:eastAsia="en-US"/>
        </w:rPr>
        <w:fldChar w:fldCharType="begin" w:fldLock="1"/>
      </w:r>
      <w:r w:rsidR="00D73AD0">
        <w:rPr>
          <w:rFonts w:eastAsia="Calibri"/>
          <w:color w:val="auto"/>
          <w:szCs w:val="24"/>
          <w:lang w:eastAsia="en-US"/>
        </w:rPr>
        <w:instrText>ADDIN CSL_CITATION { "citationItems" : [ { "id" : "ITEM-1", "itemData" : { "author" : [ { "dropping-particle" : "", "family" : "Vasconcelos", "given" : "Sandra Mary Lima", "non-dropping-particle" : "", "parse-names" : false, "suffix" : "" }, { "dropping-particle" : "", "family" : "Goulart", "given" : "Mar\u00edlia Oliveira Fonseca", "non-dropping-particle" : "", "parse-names" : false, "suffix" : "" }, { "dropping-particle" : "", "family" : "Moura", "given" : "Jos\u00e9 Benedito de Fran\u00e7a", "non-dropping-particle" : "", "parse-names" : false, "suffix" : "" }, { "dropping-particle" : "", "family" : "Kubota", "given" : "Lauro Tatsuo", "non-dropping-particle" : "", "parse-names" : false, "suffix" : "" }, { "dropping-particle" : "", "family" : "Manfredini", "given" : "Vanusa", "non-dropping-particle" : "", "parse-names" : false, "suffix" : "" }, { "dropping-particle" : "", "family" : "Benfato", "given" : "Mara da Silveira", "non-dropping-particle" : "", "parse-names" : false, "suffix" : "" } ], "container-title" : "Quim. Nova", "id" : "ITEM-1", "issue" : "5", "issued" : { "date-parts" : [ [ "2007" ] ] }, "page" : "1323-1338", "title" : "Reactive oxygen and nitrogen species, antioxidants and markers of oxidative damege in human blood: main analytical methods for their determination", "type" : "article-journal", "volume" : "30" }, "uris" : [ "http://www.mendeley.com/documents/?uuid=700bd480-a2d8-471d-90cc-4a58b80d58d1" ] }, { "id" : "ITEM-2",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"ITEM-2", "issue" : "3", "issued" : { "date-parts" : [ [ "2001" ] ] }, "page" : "176-186", "title" : "Antioxidants in health and disease", "type" : "article-journal", "volume" : "54" }, "uris" : [ "http://www.mendeley.com/documents/?uuid=9dae6719-250c-475c-b7ff-4ad47cc39442" ] }, { "id" : "ITEM-3", "itemData" : { "author" : [ { "dropping-particle" : "", "family" : "Barreiros", "given" : "Andr\u00e9 L B S", "non-dropping-particle" : "", "parse-names" : false, "suffix" : "" }, { "dropping-particle" : "", "family" : "David", "given" : "Juceni P", "non-dropping-particle" : "", "parse-names" : false, "suffix" : "" } ], "container-title" : "Quim. Nova", "id" : "ITEM-3",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Vasconcelos et al., 2007; Young &amp; Woodside, 2001)", "plainTextFormattedCitation" : "(Barreiros &amp; David, 2006; Vasconcelos et al., 2007; Young &amp; Woodside, 2001)", "previouslyFormattedCitation" : "(Barreiros &amp; David, 2006; Vasconcelos et al., 2007;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Vasconcelos et al., 2007; Young &amp; Woodside, 2001)</w:t>
      </w:r>
      <w:r w:rsidRPr="003516A7">
        <w:rPr>
          <w:rFonts w:eastAsia="Calibri"/>
          <w:color w:val="auto"/>
          <w:szCs w:val="24"/>
          <w:lang w:eastAsia="en-US"/>
        </w:rPr>
        <w:fldChar w:fldCharType="end"/>
      </w:r>
      <w:r w:rsidRPr="003516A7">
        <w:rPr>
          <w:rFonts w:eastAsia="Calibri"/>
          <w:color w:val="auto"/>
          <w:szCs w:val="24"/>
          <w:lang w:eastAsia="en-US"/>
        </w:rPr>
        <w:t>.</w:t>
      </w:r>
    </w:p>
    <w:p w14:paraId="720F6B55" w14:textId="489AFF22"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Face aos RNS estes apresentam-se no formato de óxido nítrico (NO•), óxido nitroso (N</w:t>
      </w:r>
      <w:r w:rsidRPr="003516A7">
        <w:rPr>
          <w:rFonts w:eastAsia="Calibri"/>
          <w:color w:val="auto"/>
          <w:szCs w:val="24"/>
          <w:vertAlign w:val="subscript"/>
          <w:lang w:eastAsia="en-US"/>
        </w:rPr>
        <w:t>2</w:t>
      </w:r>
      <w:r w:rsidRPr="003516A7">
        <w:rPr>
          <w:rFonts w:eastAsia="Calibri"/>
          <w:color w:val="auto"/>
          <w:szCs w:val="24"/>
          <w:lang w:eastAsia="en-US"/>
        </w:rPr>
        <w:t>O</w:t>
      </w:r>
      <w:r w:rsidRPr="003516A7">
        <w:rPr>
          <w:rFonts w:eastAsia="Calibri"/>
          <w:color w:val="auto"/>
          <w:szCs w:val="24"/>
          <w:vertAlign w:val="subscript"/>
          <w:lang w:eastAsia="en-US"/>
        </w:rPr>
        <w:t>3</w:t>
      </w:r>
      <w:r w:rsidRPr="003516A7">
        <w:rPr>
          <w:rFonts w:eastAsia="Calibri"/>
          <w:color w:val="auto"/>
          <w:szCs w:val="24"/>
          <w:lang w:eastAsia="en-US"/>
        </w:rPr>
        <w:t>), ácido nitroso (HNO</w:t>
      </w:r>
      <w:r w:rsidRPr="003516A7">
        <w:rPr>
          <w:rFonts w:eastAsia="Calibri"/>
          <w:color w:val="auto"/>
          <w:szCs w:val="24"/>
          <w:vertAlign w:val="subscript"/>
          <w:lang w:eastAsia="en-US"/>
        </w:rPr>
        <w:t>2</w:t>
      </w:r>
      <w:r w:rsidRPr="003516A7">
        <w:rPr>
          <w:rFonts w:eastAsia="Calibri"/>
          <w:color w:val="auto"/>
          <w:szCs w:val="24"/>
          <w:lang w:eastAsia="en-US"/>
        </w:rPr>
        <w:t>), nitritos (NO</w:t>
      </w:r>
      <w:r w:rsidRPr="003516A7">
        <w:rPr>
          <w:rFonts w:eastAsia="Calibri"/>
          <w:color w:val="auto"/>
          <w:szCs w:val="24"/>
          <w:vertAlign w:val="superscript"/>
          <w:lang w:eastAsia="en-US"/>
        </w:rPr>
        <w:t>-</w:t>
      </w:r>
      <w:r w:rsidRPr="003516A7">
        <w:rPr>
          <w:rFonts w:eastAsia="Calibri"/>
          <w:color w:val="auto"/>
          <w:szCs w:val="24"/>
          <w:lang w:eastAsia="en-US"/>
        </w:rPr>
        <w:t>), nitratos (NO</w:t>
      </w:r>
      <w:r w:rsidRPr="003516A7">
        <w:rPr>
          <w:rFonts w:eastAsia="Calibri"/>
          <w:color w:val="auto"/>
          <w:szCs w:val="24"/>
          <w:vertAlign w:val="subscript"/>
          <w:lang w:eastAsia="en-US"/>
        </w:rPr>
        <w:t>3</w:t>
      </w:r>
      <w:r w:rsidRPr="003516A7">
        <w:rPr>
          <w:rFonts w:eastAsia="Calibri"/>
          <w:color w:val="auto"/>
          <w:szCs w:val="24"/>
          <w:vertAlign w:val="superscript"/>
          <w:lang w:eastAsia="en-US"/>
        </w:rPr>
        <w:t>-</w:t>
      </w:r>
      <w:r w:rsidRPr="003516A7">
        <w:rPr>
          <w:rFonts w:eastAsia="Calibri"/>
          <w:color w:val="auto"/>
          <w:szCs w:val="24"/>
          <w:lang w:eastAsia="en-US"/>
        </w:rPr>
        <w:t>) e peroxonítricos (ONOO</w:t>
      </w:r>
      <w:r w:rsidRPr="003516A7">
        <w:rPr>
          <w:rFonts w:eastAsia="Calibri"/>
          <w:color w:val="auto"/>
          <w:szCs w:val="24"/>
          <w:vertAlign w:val="superscript"/>
          <w:lang w:eastAsia="en-US"/>
        </w:rPr>
        <w:t>-</w:t>
      </w:r>
      <w:r w:rsidRPr="003516A7">
        <w:rPr>
          <w:rFonts w:eastAsia="Calibri"/>
          <w:color w:val="auto"/>
          <w:szCs w:val="24"/>
          <w:lang w:eastAsia="en-US"/>
        </w:rPr>
        <w:t xml:space="preserve">) </w:t>
      </w:r>
      <w:r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"plainTextFormattedCitation" : "(Barreiros &amp; David, 2006)", "previouslyFormattedCitation" : "(Barreiros &amp; David,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w:t>
      </w:r>
      <w:r w:rsidRPr="003516A7">
        <w:rPr>
          <w:rFonts w:eastAsia="Calibri"/>
          <w:color w:val="auto"/>
          <w:szCs w:val="24"/>
          <w:lang w:eastAsia="en-US"/>
        </w:rPr>
        <w:fldChar w:fldCharType="end"/>
      </w:r>
      <w:r w:rsidRPr="003516A7">
        <w:rPr>
          <w:rFonts w:eastAsia="Calibri"/>
          <w:color w:val="auto"/>
          <w:szCs w:val="24"/>
          <w:lang w:eastAsia="en-US"/>
        </w:rPr>
        <w:t>.</w:t>
      </w:r>
    </w:p>
    <w:p w14:paraId="54959F01" w14:textId="072DE44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 nosso organismo reage aos radicais livres com defesas antioxidantes de forma a estabelecer um equilíbrio. Este equilíbrio entre oxidantes e antioxidantes é vital para o funcionamento celular, regulação e adaptação de funções de crescimento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"010.1016/S0891-5849(01)00724-9", "author" : [ { "dropping-particle" : "", "family" : "Nordberga", "given" : "Jonas", "non-dropping-particle" : "", "parse-names" : false, "suffix" : "" }, { "dropping-particle" : "", "family" : "Arn\u00e9r", "given" : "Elias S.J.", "non-dropping-particle" : "", "parse-names" : false, "suffix" : "" } ], "container-title" : "Free Radical Biology and Medicine", "id" : "ITEM-1", "issue" : "11", "issued" : { "date-parts" : [ [ "2001" ] ] }, "page" : "1287\u20131312", "title" : "Reactive oxygen species, antioxidants, and the mammalian thioredoxin system", "type" : "article-journal", "volume" : "31" }, "uris" : [ "http://www.mendeley.com/documents/?uuid=486cff8e-2456-40fc-8a42-e2df961f3ce0" ] }, { "id" : "ITEM-2",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"ITEM-2", "issued" : { "date-parts" : [ [ "2013" ] ] }, "page" : "11", "title" : "Achieving the Balance between ROS and Antioxidants : When to Use the Synthetic Antioxidants", "type" : "article-journal", "volume" : "2013" }, "uris" : [ "http://www.mendeley.com/documents/?uuid=6a4fd643-3b9f-48f9-ac11-0230a16cc4a1" ] } ], "mendeley" : { "formattedCitation" : "(Nordberga &amp; Arn\u00e9r, 2001; Poljsak et al., 2013)", "plainTextFormattedCitation" : "(Nordberga &amp; Arn\u00e9r, 2001; Poljsak et al., 2013)", "previouslyFormattedCitation" : "(Nordberga &amp; Arn\u00e9r, 2001;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(Nordberga &amp; Arnér, 2001; Poljsak et al., 2013)</w:t>
      </w:r>
      <w:r w:rsidRPr="003516A7">
        <w:rPr>
          <w:rFonts w:eastAsia="Calibri"/>
          <w:color w:val="auto"/>
          <w:szCs w:val="24"/>
          <w:lang w:eastAsia="en-US"/>
        </w:rPr>
        <w:fldChar w:fldCharType="end"/>
      </w:r>
      <w:r w:rsidRPr="003516A7">
        <w:rPr>
          <w:rFonts w:eastAsia="Calibri"/>
          <w:color w:val="auto"/>
          <w:szCs w:val="24"/>
          <w:lang w:eastAsia="en-US"/>
        </w:rPr>
        <w:t xml:space="preserve">. Contudo, este equilíbrio pode ser corroído através da produção excessiva de ROS ou a uma deficiência de defesas antioxidantes levando a um desequilíbrio </w:t>
      </w:r>
      <w:r w:rsidRPr="003516A7">
        <w:rPr>
          <w:rFonts w:eastAsia="Calibri"/>
          <w:color w:val="auto"/>
          <w:szCs w:val="24"/>
          <w:lang w:eastAsia="en-US"/>
        </w:rPr>
        <w:fldChar w:fldCharType="begin" w:fldLock="1"/>
      </w:r>
      <w:r w:rsidR="00703FCF">
        <w:rPr>
          <w:rFonts w:eastAsia="Calibri"/>
          <w:color w:val="auto"/>
          <w:szCs w:val="24"/>
          <w:lang w:eastAsia="en-US"/>
        </w:rPr>
        <w:instrText>ADDIN CSL_CITATION { "citationItems" : [ { "id" : "ITEM-1", "itemData" : { "author" : [ { "dropping-particle" : "", "family" : "Ferreira", "given" : "Isabel CFR", "non-dropping-particle" : "", "parse-names" : false, "suffix" : "" }, { "dropping-particle" : "", "family" : "Abreu", "given" : "Rui MV", "non-dropping-particle" : "", "parse-names" : false, "suffix" : "" } ], "container-title" : "Bioan\u00e1lise", "id" : "ITEM-1", "issued" : { "date-parts" : [ [ "2007" ] ] }, "page" : "32-39", "title" : "Stress Oxidativo, Antioxidantes e Fitoqu\u00edmicos", "type" : "article-journal", "volume" : "2" }, "uris" : [ "http://www.mendeley.com/documents/?uuid=ce11fa0b-e736-482e-a760-107a06b1d596" ] } ], "mendeley" : { "formattedCitation" : "(I. C. Ferreira &amp; Abreu, 2007)", "manualFormatting" : "(Ferreira &amp; Abreu, 2007)", "plainTextFormattedCitation" : "(I. C. Ferreira &amp; Abreu, 2007)", "previouslyFormattedCitation" : "(I. C. Ferreira &amp; Abreu, 2007)" }, "properties" : { "noteIndex" : 0 }, "schema" : "https://github.com/citation-style-language/schema/raw/master/csl-citation.json" }</w:instrText>
      </w:r>
      <w:r w:rsidRPr="003516A7">
        <w:rPr>
          <w:rFonts w:eastAsia="Calibri"/>
          <w:color w:val="auto"/>
          <w:szCs w:val="24"/>
          <w:lang w:eastAsia="en-US"/>
        </w:rPr>
        <w:fldChar w:fldCharType="separate"/>
      </w:r>
      <w:r w:rsidR="00703FCF">
        <w:rPr>
          <w:rFonts w:eastAsia="Calibri"/>
          <w:noProof/>
          <w:color w:val="auto"/>
          <w:szCs w:val="24"/>
          <w:lang w:eastAsia="en-US"/>
        </w:rPr>
        <w:t>(</w:t>
      </w:r>
      <w:r w:rsidRPr="003516A7">
        <w:rPr>
          <w:rFonts w:eastAsia="Calibri"/>
          <w:noProof/>
          <w:color w:val="auto"/>
          <w:szCs w:val="24"/>
          <w:lang w:eastAsia="en-US"/>
        </w:rPr>
        <w:t>Ferreira &amp; Abreu, 2007)</w:t>
      </w:r>
      <w:r w:rsidRPr="003516A7">
        <w:rPr>
          <w:rFonts w:eastAsia="Calibri"/>
          <w:color w:val="auto"/>
          <w:szCs w:val="24"/>
          <w:lang w:eastAsia="en-US"/>
        </w:rPr>
        <w:fldChar w:fldCharType="end"/>
      </w:r>
      <w:r w:rsidRPr="003516A7">
        <w:rPr>
          <w:rFonts w:eastAsia="Calibri"/>
          <w:color w:val="auto"/>
          <w:szCs w:val="24"/>
          <w:lang w:eastAsia="en-US"/>
        </w:rPr>
        <w:t>.</w:t>
      </w:r>
    </w:p>
    <w:p w14:paraId="0B01BE69" w14:textId="16B61508" w:rsidR="003516A7" w:rsidRDefault="003516A7" w:rsidP="003516A7">
      <w:pPr>
        <w:spacing w:after="160" w:line="360" w:lineRule="auto"/>
        <w:ind w:left="0" w:right="0" w:firstLine="0"/>
        <w:rPr>
          <w:szCs w:val="24"/>
        </w:rPr>
      </w:pPr>
      <w:r w:rsidRPr="003516A7">
        <w:rPr>
          <w:szCs w:val="24"/>
        </w:rPr>
        <w:lastRenderedPageBreak/>
        <w:t xml:space="preserve">A este desequilíbrio damos o nome de </w:t>
      </w:r>
      <w:proofErr w:type="gramStart"/>
      <w:r w:rsidRPr="003516A7">
        <w:rPr>
          <w:szCs w:val="24"/>
        </w:rPr>
        <w:t>stress</w:t>
      </w:r>
      <w:proofErr w:type="gramEnd"/>
      <w:r w:rsidRPr="003516A7">
        <w:rPr>
          <w:szCs w:val="24"/>
        </w:rPr>
        <w:t xml:space="preserve"> oxidativo que pode ser definido como “</w:t>
      </w:r>
      <w:r w:rsidRPr="003516A7">
        <w:rPr>
          <w:i/>
          <w:szCs w:val="24"/>
        </w:rPr>
        <w:t>um distúrbio no pró-oxidante para o equilíbrio antioxidante em favor do primeiro, levando a potenciais danos”</w:t>
      </w:r>
      <w:r w:rsidRPr="003516A7">
        <w:rPr>
          <w:szCs w:val="24"/>
        </w:rPr>
        <w:t xml:space="preserve"> </w:t>
      </w:r>
      <w:r w:rsidRPr="003516A7">
        <w:rPr>
          <w:szCs w:val="24"/>
        </w:rPr>
        <w:fldChar w:fldCharType="begin" w:fldLock="1"/>
      </w:r>
      <w:r w:rsidR="004C0F6E">
        <w:rPr>
          <w:szCs w:val="24"/>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"mendeley" : { "formattedCitation" : "(Poljsak et al., 2013)", "plainTextFormattedCitation" : "(Poljsak et al., 2013)", "previouslyFormattedCitation" : "(Poljsak et al., 2013)" }, "properties" : { "noteIndex" : 0 }, "schema" : "https://github.com/citation-style-language/schema/raw/master/csl-citation.json" }</w:instrText>
      </w:r>
      <w:r w:rsidRPr="003516A7">
        <w:rPr>
          <w:szCs w:val="24"/>
        </w:rPr>
        <w:fldChar w:fldCharType="separate"/>
      </w:r>
      <w:r w:rsidRPr="003516A7">
        <w:rPr>
          <w:noProof/>
          <w:szCs w:val="24"/>
        </w:rPr>
        <w:t>(Poljsak et al., 2013)</w:t>
      </w:r>
      <w:r w:rsidRPr="003516A7">
        <w:rPr>
          <w:szCs w:val="24"/>
        </w:rPr>
        <w:fldChar w:fldCharType="end"/>
      </w:r>
      <w:r w:rsidRPr="003516A7">
        <w:rPr>
          <w:szCs w:val="24"/>
        </w:rPr>
        <w:t xml:space="preserve">. Com isto quer-se dizer que existe uma quantidade excessiva de ROS resultando num desequilíbrio entre a sua produção e destruição que é regulada pelas defesas antioxidantes </w:t>
      </w:r>
      <w:r w:rsidRPr="003516A7">
        <w:rPr>
          <w:szCs w:val="24"/>
        </w:rPr>
        <w:fldChar w:fldCharType="begin" w:fldLock="1"/>
      </w:r>
      <w:r w:rsidR="00D73AD0">
        <w:rPr>
          <w:szCs w:val="24"/>
        </w:rPr>
        <w:instrText>ADDIN CSL_CITATION { "citationItems" : [ { "id" : "ITEM-1", "itemData" : { "DOI" : "010.1016/S0891-5849(01)00724-9", "author" : [ { "dropping-particle" : "", "family" : "Nordberga", "given" : "Jonas", "non-dropping-particle" : "", "parse-names" : false, "suffix" : "" }, { "dropping-particle" : "", "family" : "Arn\u00e9r", "given" : "Elias S.J.", "non-dropping-particle" : "", "parse-names" : false, "suffix" : "" } ], "container-title" : "Free Radical Biology and Medicine", "id" : "ITEM-1", "issue" : "11", "issued" : { "date-parts" : [ [ "2001" ] ] }, "page" : "1287\u20131312", "title" : "Reactive oxygen species, antioxidants, and the mammalian thioredoxin system", "type" : "article-journal", "volume" : "31" }, "uris" : [ "http://www.mendeley.com/documents/?uuid=486cff8e-2456-40fc-8a42-e2df961f3ce0" ] }, { "id" : "ITEM-2",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"ITEM-2", "issued" : { "date-parts" : [ [ "2013" ] ] }, "page" : "11", "title" : "Achieving the Balance between ROS and Antioxidants : When to Use the Synthetic Antioxidants", "type" : "article-journal", "volume" : "2013" }, "uris" : [ "http://www.mendeley.com/documents/?uuid=6a4fd643-3b9f-48f9-ac11-0230a16cc4a1" ] }, { "id" : "ITEM-3", "itemData" : { "author" : [ { "dropping-particle" : "", "family" : "Vasconcelos", "given" : "Sandra Mary Lima", "non-dropping-particle" : "", "parse-names" : false, "suffix" : "" }, { "dropping-particle" : "", "family" : "Goulart", "given" : "Mar\u00edlia Oliveira Fonseca", "non-dropping-particle" : "", "parse-names" : false, "suffix" : "" }, { "dropping-particle" : "", "family" : "Moura", "given" : "Jos\u00e9 Benedito de Fran\u00e7a", "non-dropping-particle" : "", "parse-names" : false, "suffix" : "" }, { "dropping-particle" : "", "family" : "Kubota", "given" : "Lauro Tatsuo", "non-dropping-particle" : "", "parse-names" : false, "suffix" : "" }, { "dropping-particle" : "", "family" : "Manfredini", "given" : "Vanusa", "non-dropping-particle" : "", "parse-names" : false, "suffix" : "" }, { "dropping-particle" : "", "family" : "Benfato", "given" : "Mara da Silveira", "non-dropping-particle" : "", "parse-names" : false, "suffix" : "" } ], "container-title" : "Quim. Nova", "id" : "ITEM-3", "issue" : "5", "issued" : { "date-parts" : [ [ "2007" ] ] }, "page" : "1323-1338", "title" : "Reactive oxygen and nitrogen species, antioxidants and markers of oxidative damege in human blood: main analytical methods for their determination", "type" : "article-journal", "volume" : "30" }, "uris" : [ "http://www.mendeley.com/documents/?uuid=700bd480-a2d8-471d-90cc-4a58b80d58d1" ] }, { "id" : "ITEM-4",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"ITEM-4", "issue" : "4", "issued" : { "date-parts" : [ [ "2010" ] ] }, "page" : "433-439", "title" : "Oxidative Stress and Antioxidants : Biological Response Modifiers of Oxidative Homeostasis in Cancer", "type" : "article-journal", "volume" : "112" }, "uris" : [ "http://www.mendeley.com/documents/?uuid=f57c4919-82ce-4f11-a815-cbe3eb1d31a1" ] }, { "id" : "ITEM-5", "itemData" : { "author" : [ { "dropping-particle" : "", "family" : "Ferreira", "given" : "Isabel CFR", "non-dropping-particle" : "", "parse-names" : false, "suffix" : "" }, { "dropping-particle" : "", "family" : "Abreu", "given" : "Rui MV", "non-dropping-particle" : "", "parse-names" : false, "suffix" : "" } ], "container-title" : "Bioan\u00e1lise", "id" : "ITEM-5", "issued" : { "date-parts" : [ [ "2007" ] ] }, "page" : "32-39", "title" : "Stress Oxidativo, Antioxidantes e Fitoqu\u00edmicos", "type" : "article-journal", "volume" : "2" }, "uris" : [ "http://www.mendeley.com/documents/?uuid=ce11fa0b-e736-482e-a760-107a06b1d596" ] } ], "mendeley" : { "formattedCitation" : "(\u010cipak, Lovakovic, &amp; \u017darkovi\u0107, 2010; I. C. Ferreira &amp; Abreu, 2007; Nordberga &amp; Arn\u00e9r, 2001; Poljsak et al., 2013; Vasconcelos et al., 2007)", "manualFormatting" : "(\u010cipak et al., 2010;. Ferreira &amp; Abreu, 2007; Nordberga &amp; Arn\u00e9r, 2001; Poljsak et al., 2013; Vasconcelos et al., 2007)", "plainTextFormattedCitation" : "(\u010cipak, Lovakovic, &amp; \u017darkovi\u0107, 2010; I. C. Ferreira &amp; Abreu, 2007; Nordberga &amp; Arn\u00e9r, 2001; Poljsak et al., 2013; Vasconcelos et al., 2007)", "previouslyFormattedCitation" : "(\u010cipak, Lovakovic, &amp; \u017darkovi\u0107, 2010; I. C. Ferreira &amp; Abreu, 2007; Nordberga &amp; Arn\u00e9r, 2001; Poljsak et al., 2013; Vasconcelos et al., 2007)" }, "properties" : { "noteIndex" : 0 }, "schema" : "https://github.com/citation-style-language/schema/raw/master/csl-citation.json" }</w:instrText>
      </w:r>
      <w:r w:rsidRPr="003516A7">
        <w:rPr>
          <w:szCs w:val="24"/>
        </w:rPr>
        <w:fldChar w:fldCharType="separate"/>
      </w:r>
      <w:r w:rsidR="00E93B70">
        <w:rPr>
          <w:noProof/>
          <w:szCs w:val="24"/>
        </w:rPr>
        <w:t>(Čipak et al.</w:t>
      </w:r>
      <w:r w:rsidRPr="003516A7">
        <w:rPr>
          <w:noProof/>
          <w:szCs w:val="24"/>
        </w:rPr>
        <w:t>, 2010;. Ferreira &amp; Abreu, 2007; Nordberga &amp; Arnér, 2001; Poljsak et al., 2013; Vasconcelos et al., 2007)</w:t>
      </w:r>
      <w:r w:rsidRPr="003516A7">
        <w:rPr>
          <w:szCs w:val="24"/>
        </w:rPr>
        <w:fldChar w:fldCharType="end"/>
      </w:r>
      <w:r>
        <w:rPr>
          <w:szCs w:val="24"/>
        </w:rPr>
        <w:t xml:space="preserve">. </w:t>
      </w:r>
    </w:p>
    <w:p w14:paraId="5CF27BD6" w14:textId="621F78AC"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Quando existe este </w:t>
      </w:r>
      <w:proofErr w:type="gramStart"/>
      <w:r w:rsidRPr="003516A7">
        <w:rPr>
          <w:rFonts w:eastAsia="Calibri"/>
          <w:color w:val="auto"/>
          <w:szCs w:val="24"/>
          <w:lang w:eastAsia="en-US"/>
        </w:rPr>
        <w:t>stress</w:t>
      </w:r>
      <w:proofErr w:type="gramEnd"/>
      <w:r w:rsidRPr="003516A7">
        <w:rPr>
          <w:rFonts w:eastAsia="Calibri"/>
          <w:color w:val="auto"/>
          <w:szCs w:val="24"/>
          <w:lang w:eastAsia="en-US"/>
        </w:rPr>
        <w:t xml:space="preserve"> oxidativo, os ROS em excesso podem oxidar e danificar lípidos celulares, proteínas e ADN, levando-os a uma nova configuração, inutilizando-o e inativando as suas funções normais, bem como a perda de função celular e por fim apoptose </w:t>
      </w:r>
      <w:r w:rsidRPr="003516A7">
        <w:rPr>
          <w:rFonts w:eastAsia="Calibri"/>
          <w:color w:val="auto"/>
          <w:szCs w:val="24"/>
          <w:lang w:eastAsia="en-US"/>
        </w:rPr>
        <w:fldChar w:fldCharType="begin" w:fldLock="1"/>
      </w:r>
      <w:r w:rsidR="00703FCF">
        <w:rPr>
          <w:rFonts w:eastAsia="Calibri"/>
          <w:color w:val="auto"/>
          <w:szCs w:val="24"/>
          <w:lang w:eastAsia="en-US"/>
        </w:rPr>
        <w:instrText>ADDIN CSL_CITATION { "citationItems" : [ { "id" : "ITEM-1", "itemData" : { "author" : [ { "dropping-particle" : "", "family" : "Ferreira", "given" : "Isabel CFR", "non-dropping-particle" : "", "parse-names" : false, "suffix" : "" }, { "dropping-particle" : "", "family" : "Abreu", "given" : "Rui MV", "non-dropping-particle" : "", "parse-names" : false, "suffix" : "" } ], "container-title" : "Bioan\u00e1lise", "id" : "ITEM-1", "issued" : { "date-parts" : [ [ "2007" ] ] }, "page" : "32-39", "title" : "Stress Oxidativo, Antioxidantes e Fitoqu\u00edmicos", "type" : "article-journal", "volume" : "2" }, "uris" : [ "http://www.mendeley.com/documents/?uuid=ce11fa0b-e736-482e-a760-107a06b1d596" ] }, { "id" : "ITEM-2", "itemData" : { "DOI" : "010.1016/S0891-5849(01)00724-9", "author" : [ { "dropping-particle" : "", "family" : "Nordberga", "given" : "Jonas", "non-dropping-particle" : "", "parse-names" : false, "suffix" : "" }, { "dropping-particle" : "", "family" : "Arn\u00e9r", "given" : "Elias S.J.", "non-dropping-particle" : "", "parse-names" : false, "suffix" : "" } ], "container-title" : "Free Radical Biology and Medicine", "id" : "ITEM-2", "issue" : "11", "issued" : { "date-parts" : [ [ "2001" ] ] }, "page" : "1287\u20131312", "title" : "Reactive oxygen species, antioxidants, and the mammalian thioredoxin system", "type" : "article-journal", "volume" : "31" }, "uris" : [ "http://www.mendeley.com/documents/?uuid=486cff8e-2456-40fc-8a42-e2df961f3ce0" ] } ], "mendeley" : { "formattedCitation" : "(I. C. Ferreira &amp; Abreu, 2007; Nordberga &amp; Arn\u00e9r, 2001)", "manualFormatting" : "(Ferreira &amp; Abreu, 2007; Nordberga &amp; Arn\u00e9r, 2001)", "plainTextFormattedCitation" : "(I. C. Ferreira &amp; Abreu, 2007; Nordberga &amp; Arn\u00e9r, 2001)", "previouslyFormattedCitation" : "(I. C. Ferreira &amp; Abreu, 2007; Nordberga &amp; Arn\u00e9r, 2001)" }, "properties" : { "noteIndex" : 0 }, "schema" : "https://github.com/citation-style-language/schema/raw/master/csl-citation.json" }</w:instrText>
      </w:r>
      <w:r w:rsidRPr="003516A7">
        <w:rPr>
          <w:rFonts w:eastAsia="Calibri"/>
          <w:color w:val="auto"/>
          <w:szCs w:val="24"/>
          <w:lang w:eastAsia="en-US"/>
        </w:rPr>
        <w:fldChar w:fldCharType="separate"/>
      </w:r>
      <w:r w:rsidR="00703FCF">
        <w:rPr>
          <w:rFonts w:eastAsia="Calibri"/>
          <w:noProof/>
          <w:color w:val="auto"/>
          <w:szCs w:val="24"/>
          <w:lang w:eastAsia="en-US"/>
        </w:rPr>
        <w:t>(</w:t>
      </w:r>
      <w:r w:rsidRPr="003516A7">
        <w:rPr>
          <w:rFonts w:eastAsia="Calibri"/>
          <w:noProof/>
          <w:color w:val="auto"/>
          <w:szCs w:val="24"/>
          <w:lang w:eastAsia="en-US"/>
        </w:rPr>
        <w:t>Ferreira &amp; Abreu, 2007; Nordberga &amp; Arnér, 2001)</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5D85BBB3" w14:textId="1FD546C5"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Tem sido comprovado que o </w:t>
      </w:r>
      <w:proofErr w:type="gramStart"/>
      <w:r w:rsidRPr="003516A7">
        <w:rPr>
          <w:rFonts w:eastAsia="Calibri"/>
          <w:color w:val="auto"/>
          <w:szCs w:val="24"/>
          <w:lang w:eastAsia="en-US"/>
        </w:rPr>
        <w:t>stress</w:t>
      </w:r>
      <w:proofErr w:type="gramEnd"/>
      <w:r w:rsidRPr="003516A7">
        <w:rPr>
          <w:rFonts w:eastAsia="Calibri"/>
          <w:color w:val="auto"/>
          <w:szCs w:val="24"/>
          <w:lang w:eastAsia="en-US"/>
        </w:rPr>
        <w:t xml:space="preserve"> oxidativo está relacionado em mais de cem doenças, a </w:t>
      </w:r>
      <w:r w:rsidR="00DA0A89">
        <w:rPr>
          <w:rFonts w:eastAsia="Calibri"/>
          <w:color w:val="auto"/>
          <w:szCs w:val="24"/>
          <w:lang w:eastAsia="en-US"/>
        </w:rPr>
        <w:t>extensão dos danos causados está</w:t>
      </w:r>
      <w:r w:rsidRPr="003516A7">
        <w:rPr>
          <w:rFonts w:eastAsia="Calibri"/>
          <w:color w:val="auto"/>
          <w:szCs w:val="24"/>
          <w:lang w:eastAsia="en-US"/>
        </w:rPr>
        <w:t xml:space="preserve"> dependente da quantidade de antioxidantes gerados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"id" : "ITEM-2", "itemData" : { "DOI" : "0892-6638/87/0001-0441", "author" : [ { "dropping-particle" : "", "family" : "Machlin", "given" : "Lawrence J.", "non-dropping-particle" : "", "parse-names" : false, "suffix" : "" }, { "dropping-particle" : "", "family" : "Bendich", "given" : "Adrianne", "non-dropping-particle" : "", "parse-names" : false, "suffix" : "" } ], "container-title" : "Clinical Nutrition", "id" : "ITEM-2", "issue" : "6", "issued" : { "date-parts" : [ [ "1987" ] ] }, "page" : "441-445", "title" : "Free radical tissue damage : protective role of antioxidant nutrients", "type" : "article-journal", "volume" : "1" }, "uris" : [ "http://www.mendeley.com/documents/?uuid=49992b36-8a8e-42ee-b4fd-8755f4e1027b" ] } ], "mendeley" : { "formattedCitation" : "(Machlin &amp; Bendich, 1987; Poljsak et al., 2013)", "plainTextFormattedCitation" : "(Machlin &amp; Bendich, 1987; Poljsak et al., 2013)", "previouslyFormattedCitation" : "(Machlin &amp; Bendich, 1987;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(Machlin &amp; Bendich, 1987; Poljsak et al., 2013)</w:t>
      </w:r>
      <w:r w:rsidRPr="003516A7">
        <w:rPr>
          <w:rFonts w:eastAsia="Calibri"/>
          <w:color w:val="auto"/>
          <w:szCs w:val="24"/>
          <w:lang w:eastAsia="en-US"/>
        </w:rPr>
        <w:fldChar w:fldCharType="end"/>
      </w:r>
      <w:r w:rsidRPr="003516A7">
        <w:rPr>
          <w:rFonts w:eastAsia="Calibri"/>
          <w:color w:val="auto"/>
          <w:szCs w:val="24"/>
          <w:lang w:eastAsia="en-US"/>
        </w:rPr>
        <w:t>.</w:t>
      </w:r>
    </w:p>
    <w:p w14:paraId="6E7E9EA3" w14:textId="77777777" w:rsidR="003516A7" w:rsidRDefault="003516A7" w:rsidP="003516A7">
      <w:pPr>
        <w:keepNext/>
        <w:keepLines/>
        <w:spacing w:before="40" w:after="0"/>
        <w:outlineLvl w:val="2"/>
        <w:rPr>
          <w:rFonts w:eastAsiaTheme="majorEastAsia"/>
          <w:iCs/>
          <w:color w:val="auto"/>
          <w:szCs w:val="24"/>
        </w:rPr>
      </w:pPr>
      <w:bookmarkStart w:id="15" w:name="_Toc462576794"/>
    </w:p>
    <w:p w14:paraId="0A98C08A" w14:textId="77777777" w:rsidR="003516A7" w:rsidRPr="008474BA" w:rsidRDefault="003516A7" w:rsidP="008474BA">
      <w:pPr>
        <w:pStyle w:val="Cabealho3"/>
        <w:rPr>
          <w:rFonts w:ascii="Times New Roman" w:hAnsi="Times New Roman" w:cs="Times New Roman"/>
          <w:color w:val="auto"/>
        </w:rPr>
      </w:pPr>
      <w:bookmarkStart w:id="16" w:name="_Toc479154809"/>
      <w:r w:rsidRPr="008474BA">
        <w:rPr>
          <w:rFonts w:ascii="Times New Roman" w:hAnsi="Times New Roman" w:cs="Times New Roman"/>
          <w:color w:val="auto"/>
        </w:rPr>
        <w:t>1.3.2 Antioxidantes</w:t>
      </w:r>
      <w:bookmarkEnd w:id="15"/>
      <w:bookmarkEnd w:id="16"/>
    </w:p>
    <w:p w14:paraId="211F2236" w14:textId="77777777" w:rsidR="003516A7" w:rsidRPr="003516A7" w:rsidRDefault="003516A7" w:rsidP="003516A7"/>
    <w:p w14:paraId="42702E4F" w14:textId="0952BC31"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Um antioxidante tem como definição “</w:t>
      </w:r>
      <w:r w:rsidRPr="003516A7">
        <w:rPr>
          <w:rFonts w:eastAsia="Calibri"/>
          <w:i/>
          <w:color w:val="auto"/>
          <w:szCs w:val="24"/>
          <w:lang w:eastAsia="en-US"/>
        </w:rPr>
        <w:t>qualquer substância que, quando presente em baixas concentrações em relação a um substrato oxidável, atrasa significativamente ou inibe a oxidação do referido composto</w:t>
      </w:r>
      <w:r w:rsidRPr="003516A7">
        <w:rPr>
          <w:rFonts w:eastAsia="Calibri"/>
          <w:color w:val="auto"/>
          <w:szCs w:val="24"/>
          <w:lang w:eastAsia="en-US"/>
        </w:rPr>
        <w:t xml:space="preserve">”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"id" : "ITEM-2",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"ITEM-2", "issued" : { "date-parts" : [ [ "2013" ] ] }, "page" : "11", "title" : "Achieving the Balance between ROS and Antioxidants : When to Use the Synthetic Antioxidants", "type" : "article-journal", "volume" : "2013" }, "uris" : [ "http://www.mendeley.com/documents/?uuid=6a4fd643-3b9f-48f9-ac11-0230a16cc4a1" ] }, { "id" : "ITEM-3", "itemData" : { "author" : [ { "dropping-particle" : "", "family" : "Barreiros", "given" : "Andr\u00e9 L B S", "non-dropping-particle" : "", "parse-names" : false, "suffix" : "" }, { "dropping-particle" : "", "family" : "David", "given" : "Juceni P", "non-dropping-particle" : "", "parse-names" : false, "suffix" : "" } ], "container-title" : "Quim. Nova", "id" : "ITEM-3",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Poljsak et al., 2013; Young &amp; Woodside, 2001)", "plainTextFormattedCitation" : "(Barreiros &amp; David, 2006; Poljsak et al., 2013; Young &amp; Woodside, 2001)", "previouslyFormattedCitation" : "(Barreiros &amp; David, 2006; Poljsak et al., 2013;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Poljsak et al., 2013; Young &amp; Woodside, 2001)</w:t>
      </w:r>
      <w:r w:rsidRPr="003516A7">
        <w:rPr>
          <w:rFonts w:eastAsia="Calibri"/>
          <w:color w:val="auto"/>
          <w:szCs w:val="24"/>
          <w:lang w:eastAsia="en-US"/>
        </w:rPr>
        <w:fldChar w:fldCharType="end"/>
      </w:r>
      <w:r w:rsidRPr="003516A7">
        <w:rPr>
          <w:rFonts w:eastAsia="Calibri"/>
          <w:color w:val="auto"/>
          <w:szCs w:val="24"/>
          <w:lang w:eastAsia="en-US"/>
        </w:rPr>
        <w:t>.</w:t>
      </w:r>
    </w:p>
    <w:p w14:paraId="64AD6B7B"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 objetivo destes é prevenir os danos causados pelos radicais impedindo a sua formação e eliminando-os através da sua decomposição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"mendeley" : { "formattedCitation" : "(Young &amp; Woodside, 2001)", "plainTextFormattedCitation" : "(Young &amp; Woodside, 2001)", "previouslyFormattedCitation" : "(Young &amp; Woodside, 2001)"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(Young &amp; Woodside, 2001)</w:t>
      </w:r>
      <w:r w:rsidRPr="003516A7">
        <w:rPr>
          <w:rFonts w:eastAsia="Calibri"/>
          <w:color w:val="auto"/>
          <w:szCs w:val="24"/>
          <w:lang w:eastAsia="en-US"/>
        </w:rPr>
        <w:fldChar w:fldCharType="end"/>
      </w:r>
      <w:r w:rsidRPr="003516A7">
        <w:rPr>
          <w:rFonts w:eastAsia="Calibri"/>
          <w:color w:val="auto"/>
          <w:szCs w:val="24"/>
          <w:lang w:eastAsia="en-US"/>
        </w:rPr>
        <w:t>.</w:t>
      </w:r>
    </w:p>
    <w:p w14:paraId="6C014544" w14:textId="23E6178A"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Os antioxidantes podem atuar sobre os radicais livres com mecanismo de defesa diferentes, enzimaticamente ou não-enzimaticamente </w:t>
      </w:r>
      <w:r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"id" : "ITEM-2",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"ITEM-2", "issue" : "4", "issued" : { "date-parts" : [ [ "2010" ] ] }, "page" : "433-439", "title" : "Oxidative Stress and Antioxidants : Biological Response Modifiers of Oxidative Homeostasis in Cancer", "type" : "article-journal", "volume" : "112" }, "uris" : [ "http://www.mendeley.com/documents/?uuid=f57c4919-82ce-4f11-a815-cbe3eb1d31a1" ] }, { "id" : "ITEM-3", "itemData" : { "author" : [ { "dropping-particle" : "", "family" : "Ferreira", "given" : "Isabel CFR", "non-dropping-particle" : "", "parse-names" : false, "suffix" : "" }, { "dropping-particle" : "", "family" : "Abreu", "given" : "Rui MV", "non-dropping-particle" : "", "parse-names" : false, "suffix" : "" } ], "container-title" : "Bioan\u00e1lise", "id" : "ITEM-3", "issued" : { "date-parts" : [ [ "2007" ] ] }, "page" : "32-39", "title" : "Stress Oxidativo, Antioxidantes e Fitoqu\u00edmicos", "type" : "article-journal", "volume" : "2" }, "uris" : [ "http://www.mendeley.com/documents/?uuid=ce11fa0b-e736-482e-a760-107a06b1d596" ] } ], "mendeley" : { "formattedCitation" : "(Barreiros &amp; David, 2006; \u010cipak et al., 2010; I. C. Ferreira &amp; Abreu, 2007)", "manualFormatting" : "(Barreiros &amp; David, 2006; \u010cipak et al., 2010;. Ferreira &amp; Abreu, 2007)", "plainTextFormattedCitation" : "(Barreiros &amp; David, 2006; \u010cipak et al., 2010; I. C. Ferreira &amp; Abreu, 2007)", "previouslyFormattedCitation" : "(Barreiros &amp; David, 2006; \u010cipak et al., 2010; I. C. Ferreira &amp; Abreu,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Čipak et al., 2010;. Ferreira &amp; Abreu, 2007)</w:t>
      </w:r>
      <w:r w:rsidRPr="003516A7">
        <w:rPr>
          <w:rFonts w:eastAsia="Calibri"/>
          <w:color w:val="auto"/>
          <w:szCs w:val="24"/>
          <w:lang w:eastAsia="en-US"/>
        </w:rPr>
        <w:fldChar w:fldCharType="end"/>
      </w:r>
      <w:r w:rsidRPr="003516A7">
        <w:rPr>
          <w:rFonts w:eastAsia="Calibri"/>
          <w:color w:val="auto"/>
          <w:szCs w:val="24"/>
          <w:lang w:eastAsia="en-US"/>
        </w:rPr>
        <w:t>.</w:t>
      </w:r>
    </w:p>
    <w:p w14:paraId="07CB3E03" w14:textId="058B2F62"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O mecanismo de defesa antioxidante enzimático encontra-se em maior número, por todo o organis</w:t>
      </w:r>
      <w:r w:rsidR="006665D1">
        <w:rPr>
          <w:rFonts w:eastAsia="Calibri"/>
          <w:color w:val="auto"/>
          <w:szCs w:val="24"/>
          <w:lang w:eastAsia="en-US"/>
        </w:rPr>
        <w:t>mo, no meio intracelular ou</w:t>
      </w:r>
      <w:r w:rsidRPr="003516A7">
        <w:rPr>
          <w:rFonts w:eastAsia="Calibri"/>
          <w:color w:val="auto"/>
          <w:szCs w:val="24"/>
          <w:lang w:eastAsia="en-US"/>
        </w:rPr>
        <w:t xml:space="preserve"> no meio extracelular </w:t>
      </w:r>
      <w:r w:rsidRPr="003516A7">
        <w:rPr>
          <w:rFonts w:eastAsia="Calibri"/>
          <w:color w:val="auto"/>
          <w:szCs w:val="24"/>
          <w:lang w:eastAsia="en-US"/>
        </w:rPr>
        <w:fldChar w:fldCharType="begin" w:fldLock="1"/>
      </w:r>
      <w:r w:rsidR="00310D60">
        <w:rPr>
          <w:rFonts w:eastAsia="Calibri"/>
          <w:color w:val="auto"/>
          <w:szCs w:val="24"/>
          <w:lang w:eastAsia="en-US"/>
        </w:rPr>
        <w:instrText>ADDIN CSL_CITATION { "citationItems" : [ { "id" : "ITEM-1", "itemData" : { "author" : [ { "dropping-particle" : "", "family" : "Ferreira", "given" : "Isabel CFR", "non-dropping-particle" : "", "parse-names" : false, "suffix" : "" }, { "dropping-particle" : "", "family" : "Abreu", "given" : "Rui MV", "non-dropping-particle" : "", "parse-names" : false, "suffix" : "" } ], "container-title" : "Bioan\u00e1lise", "id" : "ITEM-1", "issued" : { "date-parts" : [ [ "2007" ] ] }, "page" : "32-39", "title" : "Stress Oxidativo, Antioxidantes e Fitoqu\u00edmicos", "type" : "article-journal", "volume" : "2" }, "uris" : [ "http://www.mendeley.com/documents/?uuid=ce11fa0b-e736-482e-a760-107a06b1d596" ] } ], "mendeley" : { "formattedCitation" : "(I. C. Ferreira &amp; Abreu, 2007)", "manualFormatting" : "(Ferreira &amp; Abreu, 2007)", "plainTextFormattedCitation" : "(I. C. Ferreira &amp; Abreu, 2007)", "previouslyFormattedCitation" : "(I. C. Ferreira &amp; Abreu,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(Ferreira &amp; Abreu, 2007)</w:t>
      </w:r>
      <w:r w:rsidRPr="003516A7">
        <w:rPr>
          <w:rFonts w:eastAsia="Calibri"/>
          <w:color w:val="auto"/>
          <w:szCs w:val="24"/>
          <w:lang w:eastAsia="en-US"/>
        </w:rPr>
        <w:fldChar w:fldCharType="end"/>
      </w:r>
      <w:r w:rsidRPr="003516A7">
        <w:rPr>
          <w:rFonts w:eastAsia="Calibri"/>
          <w:color w:val="auto"/>
          <w:szCs w:val="24"/>
          <w:lang w:eastAsia="en-US"/>
        </w:rPr>
        <w:t xml:space="preserve">. Este sistema é dividido em dois grupos, um que reage diretamente como ROS enquanto outro funciona apenas como regulador redox para fornecer o equilíbrio redox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"ITEM-1", "issue" : "4", "issued" : { "date-parts" : [ [ "2010" ] ] }, "page" : "433-439", "title" : "Oxidative Stress and Antioxidants : Biological Response Modifiers of Oxidative Homeostasis in Cancer", "type" : "article-journal", "volume" : "112" }, "uris" : [ "http://www.mendeley.com/documents/?uuid=f57c4919-82ce-4f11-a815-cbe3eb1d31a1" ] } ], "mendeley" : { "formattedCitation" : "(\u010cipak et al., 2010)", "plainTextFormattedCitation" : "(\u010cipak et al., 2010)", "previouslyFormattedCitation" : "(\u010cipak et al., 2010)"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(Čipak et al., 2010)</w:t>
      </w:r>
      <w:r w:rsidRPr="003516A7">
        <w:rPr>
          <w:rFonts w:eastAsia="Calibri"/>
          <w:color w:val="auto"/>
          <w:szCs w:val="24"/>
          <w:lang w:eastAsia="en-US"/>
        </w:rPr>
        <w:fldChar w:fldCharType="end"/>
      </w:r>
      <w:r w:rsidRPr="003516A7">
        <w:rPr>
          <w:rFonts w:eastAsia="Calibri"/>
          <w:color w:val="auto"/>
          <w:szCs w:val="24"/>
          <w:lang w:eastAsia="en-US"/>
        </w:rPr>
        <w:t xml:space="preserve">. Os dois mecanismos enzimáticos garantem uma proteção ótima contra os </w:t>
      </w:r>
      <w:r w:rsidRPr="003516A7">
        <w:rPr>
          <w:rFonts w:eastAsia="Calibri"/>
          <w:color w:val="auto"/>
          <w:szCs w:val="24"/>
          <w:lang w:eastAsia="en-US"/>
        </w:rPr>
        <w:lastRenderedPageBreak/>
        <w:t xml:space="preserve">efeitos prejudiciais do </w:t>
      </w:r>
      <w:proofErr w:type="gramStart"/>
      <w:r w:rsidRPr="003516A7">
        <w:rPr>
          <w:rFonts w:eastAsia="Calibri"/>
          <w:color w:val="auto"/>
          <w:szCs w:val="24"/>
          <w:lang w:eastAsia="en-US"/>
        </w:rPr>
        <w:t>stress</w:t>
      </w:r>
      <w:proofErr w:type="gramEnd"/>
      <w:r w:rsidRPr="003516A7">
        <w:rPr>
          <w:rFonts w:eastAsia="Calibri"/>
          <w:color w:val="auto"/>
          <w:szCs w:val="24"/>
          <w:lang w:eastAsia="en-US"/>
        </w:rPr>
        <w:t xml:space="preserve"> oxidativo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"ITEM-1", "issue" : "4", "issued" : { "date-parts" : [ [ "2010" ] ] }, "page" : "433-439", "title" : "Oxidative Stress and Antioxidants : Biological Response Modifiers of Oxidative Homeostasis in Cancer", "type" : "article-journal", "volume" : "112" }, "uris" : [ "http://www.mendeley.com/documents/?uuid=f57c4919-82ce-4f11-a815-cbe3eb1d31a1" ] } ], "mendeley" : { "formattedCitation" : "(\u010cipak et al., 2010)", "plainTextFormattedCitation" : "(\u010cipak et al., 2010)", "previouslyFormattedCitation" : "(\u010cipak et al., 2010)"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(Čipak et al., 2010)</w:t>
      </w:r>
      <w:r w:rsidRPr="003516A7">
        <w:rPr>
          <w:rFonts w:eastAsia="Calibri"/>
          <w:color w:val="auto"/>
          <w:szCs w:val="24"/>
          <w:lang w:eastAsia="en-US"/>
        </w:rPr>
        <w:fldChar w:fldCharType="end"/>
      </w:r>
      <w:r w:rsidRPr="003516A7">
        <w:rPr>
          <w:rFonts w:eastAsia="Calibri"/>
          <w:color w:val="auto"/>
          <w:szCs w:val="24"/>
          <w:lang w:eastAsia="en-US"/>
        </w:rPr>
        <w:t xml:space="preserve">. Dentro desta categoria encontramos enzimas como superóxido dismutase (SOD), catalase (CAT), glutationa peroxidase (GPH-Px), glutationa redutase (GPH-R), etc,. </w:t>
      </w:r>
      <w:r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"Ferreira", "given" : "Isabel CFR", "non-dropping-particle" : "", "parse-names" : false, "suffix" : "" }, { "dropping-particle" : "", "family" : "Abreu", "given" : "Rui MV", "non-dropping-particle" : "", "parse-names" : false, "suffix" : "" } ], "container-title" : "Bioan\u00e1lise", "id" : "ITEM-1", "issued" : { "date-parts" : [ [ "2007" ] ] }, "page" : "32-39", "title" : "Stress Oxidativo, Antioxidantes e Fitoqu\u00edmicos", "type" : "article-journal", "volume" : "2" }, "uris" : [ "http://www.mendeley.com/documents/?uuid=ce11fa0b-e736-482e-a760-107a06b1d596" ] }, { "id" : "ITEM-2",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"ITEM-2", "issue" : "4", "issued" : { "date-parts" : [ [ "2010" ] ] }, "page" : "433-439", "title" : "Oxidative Stress and Antioxidants : Biological Response Modifiers of Oxidative Homeostasis in Cancer", "type" : "article-journal", "volume" : "112" }, "uris" : [ "http://www.mendeley.com/documents/?uuid=f57c4919-82ce-4f11-a815-cbe3eb1d31a1" ] }, { "id" : "ITEM-3", "itemData" : { "author" : [ { "dropping-particle" : "", "family" : "Barreiros", "given" : "Andr\u00e9 L B S", "non-dropping-particle" : "", "parse-names" : false, "suffix" : "" }, { "dropping-particle" : "", "family" : "David", "given" : "Juceni P", "non-dropping-particle" : "", "parse-names" : false, "suffix" : "" } ], "container-title" : "Quim. Nova", "id" : "ITEM-3",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\u010cipak et al., 2010; I. C. Ferreira &amp; Abreu, 2007)", "manualFormatting" : "(Barreiros &amp; David, 2006; \u010cipak et al., 2010; Ferreira &amp; Abreu, 2007)", "plainTextFormattedCitation" : "(Barreiros &amp; David, 2006; \u010cipak et al., 2010; I. C. Ferreira &amp; Abreu, 2007)", "previouslyFormattedCitation" : "(Barreiros &amp; David, 2006; \u010cipak et al., 2010; I. C. Ferreira &amp; Abreu,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Čipak et al., 2010; Ferreira &amp; Abreu, 2007)</w:t>
      </w:r>
      <w:r w:rsidRPr="003516A7">
        <w:rPr>
          <w:rFonts w:eastAsia="Calibri"/>
          <w:color w:val="auto"/>
          <w:szCs w:val="24"/>
          <w:lang w:eastAsia="en-US"/>
        </w:rPr>
        <w:fldChar w:fldCharType="end"/>
      </w:r>
      <w:r w:rsidRPr="003516A7">
        <w:rPr>
          <w:rFonts w:eastAsia="Calibri"/>
          <w:color w:val="auto"/>
          <w:szCs w:val="24"/>
          <w:lang w:eastAsia="en-US"/>
        </w:rPr>
        <w:t>.</w:t>
      </w:r>
    </w:p>
    <w:p w14:paraId="1B16B9C1" w14:textId="5A7A7EDD"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No caso do mecanismo de defesa antioxidante não-enzimático, estes não são tão específicos mas são os primeiros no combate contra os radicais livres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"ITEM-1", "issue" : "4", "issued" : { "date-parts" : [ [ "2010" ] ] }, "page" : "433-439", "title" : "Oxidative Stress and Antioxidants : Biological Response Modifiers of Oxidative Homeostasis in Cancer", "type" : "article-journal", "volume" : "112" }, "uris" : [ "http://www.mendeley.com/documents/?uuid=f57c4919-82ce-4f11-a815-cbe3eb1d31a1" ] } ], "mendeley" : { "formattedCitation" : "(\u010cipak et al., 2010)", "plainTextFormattedCitation" : "(\u010cipak et al., 2010)", "previouslyFormattedCitation" : "(\u010cipak et al., 2010)"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(Čipak et al., 2010)</w:t>
      </w:r>
      <w:r w:rsidRPr="003516A7">
        <w:rPr>
          <w:rFonts w:eastAsia="Calibri"/>
          <w:color w:val="auto"/>
          <w:szCs w:val="24"/>
          <w:lang w:eastAsia="en-US"/>
        </w:rPr>
        <w:fldChar w:fldCharType="end"/>
      </w:r>
      <w:r w:rsidRPr="003516A7">
        <w:rPr>
          <w:rFonts w:eastAsia="Calibri"/>
          <w:color w:val="auto"/>
          <w:szCs w:val="24"/>
          <w:lang w:eastAsia="en-US"/>
        </w:rPr>
        <w:t xml:space="preserve">. Neste tipo de defesa destacam-se </w:t>
      </w:r>
      <w:r w:rsidR="00A523A3">
        <w:rPr>
          <w:rFonts w:eastAsia="Calibri"/>
          <w:color w:val="auto"/>
          <w:szCs w:val="24"/>
          <w:lang w:eastAsia="en-US"/>
        </w:rPr>
        <w:t xml:space="preserve">os </w:t>
      </w:r>
      <w:r w:rsidRPr="003516A7">
        <w:rPr>
          <w:rFonts w:eastAsia="Calibri"/>
          <w:color w:val="auto"/>
          <w:szCs w:val="24"/>
          <w:lang w:eastAsia="en-US"/>
        </w:rPr>
        <w:t>composto</w:t>
      </w:r>
      <w:r w:rsidR="00A523A3">
        <w:rPr>
          <w:rFonts w:eastAsia="Calibri"/>
          <w:color w:val="auto"/>
          <w:szCs w:val="24"/>
          <w:lang w:eastAsia="en-US"/>
        </w:rPr>
        <w:t>s</w:t>
      </w:r>
      <w:r w:rsidRPr="003516A7">
        <w:rPr>
          <w:rFonts w:eastAsia="Calibri"/>
          <w:color w:val="auto"/>
          <w:szCs w:val="24"/>
          <w:lang w:eastAsia="en-US"/>
        </w:rPr>
        <w:t xml:space="preserve"> como glutationa (GSH), peptídos de histidina, proteínas ligadas ao ferro (transferrina e ferritina), ácido di</w:t>
      </w:r>
      <w:r w:rsidR="00357FB5">
        <w:rPr>
          <w:rFonts w:eastAsia="Calibri"/>
          <w:color w:val="auto"/>
          <w:szCs w:val="24"/>
          <w:lang w:eastAsia="en-US"/>
        </w:rPr>
        <w:t>h</w:t>
      </w:r>
      <w:r w:rsidRPr="003516A7">
        <w:rPr>
          <w:rFonts w:eastAsia="Calibri"/>
          <w:color w:val="auto"/>
          <w:szCs w:val="24"/>
          <w:lang w:eastAsia="en-US"/>
        </w:rPr>
        <w:t>idrolipóico, ácido úrico e CoQH</w:t>
      </w:r>
      <w:r w:rsidRPr="003516A7">
        <w:rPr>
          <w:rFonts w:eastAsia="Calibri"/>
          <w:color w:val="auto"/>
          <w:szCs w:val="24"/>
          <w:vertAlign w:val="subscript"/>
          <w:lang w:eastAsia="en-US"/>
        </w:rPr>
        <w:t xml:space="preserve">2 </w:t>
      </w:r>
      <w:r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"id" : "ITEM-2", "itemData" : { "author" : [ { "dropping-particle" : "", "family" : "Ferreira", "given" : "Isabel CFR", "non-dropping-particle" : "", "parse-names" : false, "suffix" : "" }, { "dropping-particle" : "", "family" : "Abreu", "given" : "Rui MV", "non-dropping-particle" : "", "parse-names" : false, "suffix" : "" } ], "container-title" : "Bioan\u00e1lise", "id" : "ITEM-2", "issued" : { "date-parts" : [ [ "2007" ] ] }, "page" : "32-39", "title" : "Stress Oxidativo, Antioxidantes e Fitoqu\u00edmicos", "type" : "article-journal", "volume" : "2" }, "uris" : [ "http://www.mendeley.com/documents/?uuid=ce11fa0b-e736-482e-a760-107a06b1d596" ] } ], "mendeley" : { "formattedCitation" : "(Barreiros &amp; David, 2006; I. C. Ferreira &amp; Abreu, 2007)", "manualFormatting" : "(Barreiros &amp; David, 2006; Ferreira &amp; Abreu, 2007)", "plainTextFormattedCitation" : "(Barreiros &amp; David, 2006; I. C. Ferreira &amp; Abreu, 2007)", "previouslyFormattedCitation" : "(Barreiros &amp; David, 2006; I. C. Ferreira &amp; Abreu,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(Barreiros &amp; David, 2006; Ferreira &amp; Abreu, 2007)</w:t>
      </w:r>
      <w:r w:rsidRPr="003516A7">
        <w:rPr>
          <w:rFonts w:eastAsia="Calibri"/>
          <w:color w:val="auto"/>
          <w:szCs w:val="24"/>
          <w:lang w:eastAsia="en-US"/>
        </w:rPr>
        <w:fldChar w:fldCharType="end"/>
      </w:r>
      <w:r w:rsidRPr="003516A7">
        <w:rPr>
          <w:rFonts w:eastAsia="Calibri"/>
          <w:color w:val="auto"/>
          <w:szCs w:val="24"/>
          <w:lang w:eastAsia="en-US"/>
        </w:rPr>
        <w:t>.</w:t>
      </w:r>
    </w:p>
    <w:p w14:paraId="51E0F196" w14:textId="5CF0D517" w:rsidR="003516A7" w:rsidRPr="003516A7" w:rsidRDefault="00DA0A89" w:rsidP="003516A7">
      <w:pPr>
        <w:tabs>
          <w:tab w:val="left" w:pos="5814"/>
        </w:tabs>
        <w:spacing w:after="160" w:line="360" w:lineRule="auto"/>
        <w:ind w:left="0" w:right="0" w:firstLine="0"/>
        <w:rPr>
          <w:rFonts w:eastAsia="Calibri"/>
          <w:color w:val="auto"/>
          <w:szCs w:val="24"/>
          <w:lang w:eastAsia="en-US"/>
        </w:rPr>
      </w:pPr>
      <w:r>
        <w:rPr>
          <w:rFonts w:eastAsia="Calibri"/>
          <w:color w:val="auto"/>
          <w:szCs w:val="24"/>
          <w:lang w:eastAsia="en-US"/>
        </w:rPr>
        <w:t>Os antioxidantes têm origens</w:t>
      </w:r>
      <w:r w:rsidR="003516A7" w:rsidRPr="003516A7">
        <w:rPr>
          <w:rFonts w:eastAsia="Calibri"/>
          <w:color w:val="auto"/>
          <w:szCs w:val="24"/>
          <w:lang w:eastAsia="en-US"/>
        </w:rPr>
        <w:t xml:space="preserve"> diferentes podendo ser produzidos pelo nosso corpo, endógenos, ou provenientes de dietas através de alimentos ou de suplementos, exógenos </w:t>
      </w:r>
      <w:r w:rsidR="003516A7"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"id" : "ITEM-2", "itemData" : { "author" : [ { "dropping-particle" : "", "family" : "\u010cipak", "given" : "Ana", "non-dropping-particle" : "", "parse-names" : false, "suffix" : "" }, { "dropping-particle" : "", "family" : "Lovakovic", "given" : "Tomislava", "non-dropping-particle" : "", "parse-names" : false, "suffix" : "" }, { "dropping-particle" : "", "family" : "\u017darkovi\u0107", "given" : "Neven", "non-dropping-particle" : "", "parse-names" : false, "suffix" : "" } ], "container-title" : "PERIODICUM BIOLOGORUM", "id" : "ITEM-2", "issue" : "4", "issued" : { "date-parts" : [ [ "2010" ] ] }, "page" : "433-439", "title" : "Oxidative Stress and Antioxidants : Biological Response Modifiers of Oxidative Homeostasis in Cancer", "type" : "article-journal", "volume" : "112" }, "uris" : [ "http://www.mendeley.com/documents/?uuid=f57c4919-82ce-4f11-a815-cbe3eb1d31a1" ] } ], "mendeley" : { "formattedCitation" : "(Barreiros &amp; David, 2006; \u010cipak et al., 2010)", "plainTextFormattedCitation" : "(Barreiros &amp; David, 2006; \u010cipak et al., 2010)", "previouslyFormattedCitation" : "(Barreiros &amp; David, 2006; \u010cipak et al., 2010)" }, "properties" : { "noteIndex" : 0 }, "schema" : "https://github.com/citation-style-language/schema/raw/master/csl-citation.json" }</w:instrText>
      </w:r>
      <w:r w:rsidR="003516A7" w:rsidRPr="003516A7">
        <w:rPr>
          <w:rFonts w:eastAsia="Calibri"/>
          <w:color w:val="auto"/>
          <w:szCs w:val="24"/>
          <w:lang w:eastAsia="en-US"/>
        </w:rPr>
        <w:fldChar w:fldCharType="separate"/>
      </w:r>
      <w:r w:rsidR="003516A7" w:rsidRPr="003516A7">
        <w:rPr>
          <w:rFonts w:eastAsia="Calibri"/>
          <w:noProof/>
          <w:color w:val="auto"/>
          <w:szCs w:val="24"/>
          <w:lang w:eastAsia="en-US"/>
        </w:rPr>
        <w:t>(Barreiros &amp; David, 2006; Čipak et al., 2010)</w:t>
      </w:r>
      <w:r w:rsidR="003516A7" w:rsidRPr="003516A7">
        <w:rPr>
          <w:rFonts w:eastAsia="Calibri"/>
          <w:color w:val="auto"/>
          <w:szCs w:val="24"/>
          <w:lang w:eastAsia="en-US"/>
        </w:rPr>
        <w:fldChar w:fldCharType="end"/>
      </w:r>
      <w:r w:rsidR="003516A7" w:rsidRPr="003516A7">
        <w:rPr>
          <w:rFonts w:eastAsia="Calibri"/>
          <w:color w:val="auto"/>
          <w:szCs w:val="24"/>
          <w:lang w:eastAsia="en-US"/>
        </w:rPr>
        <w:t>. Na nossa alimentação podemos encontrar os β-carotenos (pro-vitamina A), α-tocoferol (vitamina</w:t>
      </w:r>
      <w:r>
        <w:rPr>
          <w:rFonts w:eastAsia="Calibri"/>
          <w:color w:val="auto"/>
          <w:szCs w:val="24"/>
          <w:lang w:eastAsia="en-US"/>
        </w:rPr>
        <w:t xml:space="preserve"> E), ácido ascórbico (vitamina C</w:t>
      </w:r>
      <w:r w:rsidR="003516A7" w:rsidRPr="003516A7">
        <w:rPr>
          <w:rFonts w:eastAsia="Calibri"/>
          <w:color w:val="auto"/>
          <w:szCs w:val="24"/>
          <w:lang w:eastAsia="en-US"/>
        </w:rPr>
        <w:t xml:space="preserve">), e compostos fenólicos onde se dá destaque ao grupo dos flavonoides </w:t>
      </w:r>
      <w:r w:rsidR="003516A7" w:rsidRPr="003516A7">
        <w:rPr>
          <w:rFonts w:eastAsia="Calibri"/>
          <w:color w:val="auto"/>
          <w:szCs w:val="24"/>
          <w:lang w:eastAsia="en-US"/>
        </w:rPr>
        <w:fldChar w:fldCharType="begin" w:fldLock="1"/>
      </w:r>
      <w:r w:rsidR="00C75BBE">
        <w:rPr>
          <w:rFonts w:eastAsia="Calibri"/>
          <w:color w:val="auto"/>
          <w:szCs w:val="24"/>
          <w:lang w:eastAsia="en-US"/>
        </w:rPr>
        <w:instrText>ADDIN CSL_CITATION { "citationItems" : [ { "id" : "ITEM-1", "itemData" : { "author" : [ { "dropping-particle" : "", "family" : "Barreiros", "given" : "Andr\u00e9 L B S", "non-dropping-particle" : "", "parse-names" : false, "suffix" : "" }, { "dropping-particle" : "", "family" : "David", "given" : "Juceni P", "non-dropping-particle" : "", "parse-names" : false, "suffix" : "" } ], "container-title" : "Quim. Nova", "id" : "ITEM-1", "issue" : "1", "issued" : { "date-parts" : [ [ "2006" ] ] }, "page" : "113-123", "title" : "Oxidative stress: relations between the formation of reactive species and the organism's defense", "type" : "article-journal", "volume" : "29" }, "uris" : [ "http://www.mendeley.com/documents/?uuid=984fae77-a4e2-4e24-bc0d-2b05a61a2b16" ] } ], "mendeley" : { "formattedCitation" : "(Barreiros &amp; David, 2006)", "plainTextFormattedCitation" : "(Barreiros &amp; David, 2006)", "previouslyFormattedCitation" : "(Barreiros &amp; David, 2006)" }, "properties" : { "noteIndex" : 0 }, "schema" : "https://github.com/citation-style-language/schema/raw/master/csl-citation.json" }</w:instrText>
      </w:r>
      <w:r w:rsidR="003516A7" w:rsidRPr="003516A7">
        <w:rPr>
          <w:rFonts w:eastAsia="Calibri"/>
          <w:color w:val="auto"/>
          <w:szCs w:val="24"/>
          <w:lang w:eastAsia="en-US"/>
        </w:rPr>
        <w:fldChar w:fldCharType="separate"/>
      </w:r>
      <w:r w:rsidR="003516A7" w:rsidRPr="003516A7">
        <w:rPr>
          <w:rFonts w:eastAsia="Calibri"/>
          <w:noProof/>
          <w:color w:val="auto"/>
          <w:szCs w:val="24"/>
          <w:lang w:eastAsia="en-US"/>
        </w:rPr>
        <w:t>(Barreiros &amp; David, 2006)</w:t>
      </w:r>
      <w:r w:rsidR="003516A7" w:rsidRPr="003516A7">
        <w:rPr>
          <w:rFonts w:eastAsia="Calibri"/>
          <w:color w:val="auto"/>
          <w:szCs w:val="24"/>
          <w:lang w:eastAsia="en-US"/>
        </w:rPr>
        <w:fldChar w:fldCharType="end"/>
      </w:r>
      <w:r w:rsidR="003516A7" w:rsidRPr="003516A7">
        <w:rPr>
          <w:rFonts w:eastAsia="Calibri"/>
          <w:color w:val="auto"/>
          <w:szCs w:val="24"/>
          <w:lang w:eastAsia="en-US"/>
        </w:rPr>
        <w:t>.</w:t>
      </w:r>
    </w:p>
    <w:p w14:paraId="3DA0E47B" w14:textId="425D6EFE"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Existem várias formas de caracterizar um antioxidante, do ponto de vista químico estes são compostos que contém um grupo hidroxil</w:t>
      </w:r>
      <w:r w:rsidR="00DA0A89">
        <w:rPr>
          <w:rFonts w:eastAsia="Calibri"/>
          <w:color w:val="auto"/>
          <w:szCs w:val="24"/>
          <w:lang w:eastAsia="en-US"/>
        </w:rPr>
        <w:t>o</w:t>
      </w:r>
      <w:r w:rsidRPr="003516A7">
        <w:rPr>
          <w:rFonts w:eastAsia="Calibri"/>
          <w:color w:val="auto"/>
          <w:szCs w:val="24"/>
          <w:lang w:eastAsia="en-US"/>
        </w:rPr>
        <w:t xml:space="preserve">, podendo ser sintéticos ou naturais.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"10.3109/10715762.2010.508495", "author" : [ { "dropping-particle" : "", "family" : "Augustyniak", "given" : "Agnieszka", "non-dropping-particle" : "", "parse-names" : false, "suffix" : "" }, { "dropping-particle" : "", "family" : "Bartosz", "given" : "Grzegorz", "non-dropping-particle" : "", "parse-names" : false, "suffix" : "" }, { "dropping-particle" : "", "family" : "\u010cipak", "given" : "Ana", "non-dropping-particle" : "", "parse-names" : false, "suffix" : "" }, { "dropping-particle" : "", "family" : "Duburs", "given" : "Gunars", "non-dropping-particle" : "", "parse-names" : false, "suffix" : "" }, { "dropping-particle" : "", "family" : "Hor\u00e1kov\u00e1", "given" : "L'Ubica", "non-dropping-particle" : "", "parse-names" : false, "suffix" : "" }, { "dropping-particle" : "", "family" : "\u0141uczaj", "given" : "Wojciech", "non-dropping-particle" : "", "parse-names" : false, "suffix" : "" }, { "dropping-particle" : "", "family" : "Majekova", "given" : "Magdalena", "non-dropping-particle" : "", "parse-names" : false, "suffix" : "" }, { "dropping-particle" : "", "family" : "Odysseos", "given" : "Andreani D.", "non-dropping-particle" : "", "parse-names" : false, "suffix" : "" }, { "dropping-particle" : "", "family" : "Rackova", "given" : "Lucia", "non-dropping-particle" : "", "parse-names" : false, "suffix" : "" }, { "dropping-particle" : "", "family" : "Skrzydlewska", "given" : "El\u017cbieta", "non-dropping-particle" : "", "parse-names" : false, "suffix" : "" }, { "dropping-particle" : "", "family" : "Stefek", "given" : "Milan", "non-dropping-particle" : "", "parse-names" : false, "suffix" : "" }, { "dropping-particle" : "", "family" : "\u0160trosov\u00e1", "given" : "Miriam", "non-dropping-particle" : "", "parse-names" : false, "suffix" : "" }, { "dropping-particle" : "", "family" : "Tirzitis", "given" : "Gunars", "non-dropping-particle" : "", "parse-names" : false, "suffix" : "" }, { "dropping-particle" : "", "family" : "Venskutonis", "given" : "Petras Rimantas", "non-dropping-particle" : "", "parse-names" : false, "suffix" : "" }, { "dropping-particle" : "", "family" : "Viskupicova", "given" : "Jana", "non-dropping-particle" : "", "parse-names" : false, "suffix" : "" }, { "dropping-particle" : "", "family" : "Vraka", "given" : "Panagiota S.", "non-dropping-particle" : "", "parse-names" : false, "suffix" : "" }, { "dropping-particle" : "", "family" : "\u017darkovi\u0107", "given" : "Neven", "non-dropping-particle" : "", "parse-names" : false, "suffix" : "" } ], "container-title" : "Free Radical Research", "id" : "ITEM-1", "issue" : "10", "issued" : { "date-parts" : [ [ "2010" ] ] }, "page" : "1216-1262", "title" : "Natural and synthetic antioxidants: An updated overview", "type" : "article-journal", "volume" : "44" }, "uris" : [ "http://www.mendeley.com/documents/?uuid=64e8f727-efd0-4446-9092-39d2ad739ad6" ] } ], "mendeley" : { "formattedCitation" : "(Augustyniak et al., 2010)", "plainTextFormattedCitation" : "(Augustyniak et al., 2010)", "previouslyFormattedCitation" : "(Augustyniak et al., 2010)"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(Augustyniak et al., 2010)</w:t>
      </w:r>
      <w:r w:rsidRPr="003516A7">
        <w:rPr>
          <w:rFonts w:eastAsia="Calibri"/>
          <w:color w:val="auto"/>
          <w:szCs w:val="24"/>
          <w:lang w:eastAsia="en-US"/>
        </w:rPr>
        <w:fldChar w:fldCharType="end"/>
      </w:r>
      <w:r w:rsidRPr="003516A7">
        <w:rPr>
          <w:rFonts w:eastAsia="Calibri"/>
          <w:color w:val="auto"/>
          <w:szCs w:val="24"/>
          <w:lang w:eastAsia="en-US"/>
        </w:rPr>
        <w:t xml:space="preserve">. Ou pelo seu mecanismo de ação como preventivos ou bloqueadores de cadeias, que ainda podem ser divididos em antioxidantes primários, sinergistas, removedores de oxigénio, biológicos, agentes quelantes e mistos </w:t>
      </w:r>
      <w:r w:rsidRPr="003516A7">
        <w:rPr>
          <w:rFonts w:eastAsia="Calibri"/>
          <w:color w:val="auto"/>
          <w:szCs w:val="24"/>
          <w:lang w:eastAsia="en-US"/>
        </w:rPr>
        <w:fldChar w:fldCharType="begin" w:fldLock="1"/>
      </w:r>
      <w:r w:rsidR="009A0846">
        <w:rPr>
          <w:rFonts w:eastAsia="Calibri"/>
          <w:color w:val="auto"/>
          <w:szCs w:val="24"/>
          <w:lang w:eastAsia="en-US"/>
        </w:rPr>
        <w:instrText>ADDIN CSL_CITATION { "citationItems" : [ { "id" : "ITEM-1", "itemData" : { "author" : [ { "dropping-particle" : "", "family" : "Davy", "given" : "Humphry", "non-dropping-particle" : "", "parse-names" : false, "suffix" : "" } ], "container-title" : "Food ingredients Brasil", "id" : "ITEM-1", "issued" : { "date-parts" : [ [ "2009" ] ] }, "page" : "16-31", "title" : "Os antioxidantes", "type" : "article-magazine", "volume" : "6" }, "uris" : [ "http://www.mendeley.com/documents/?uuid=7b387cba-5452-40e3-9ca9-71b420eedebc" ] }, { "id" : "ITEM-2", "itemData" : { "author" : [ { "dropping-particle" : "", "family" : "Pinho", "given" : "Olivia", "non-dropping-particle" : "", "parse-names" : false, "suffix" : "" }, { "dropping-particle" : "", "family" : "Ferreira", "given" : "Isabel MPLVO", "non-dropping-particle" : "", "parse-names" : false, "suffix" : "" }, { "dropping-particle" : "", "family" : "Oliveira", "given" : "M Beatriz PP", "non-dropping-particle" : "", "parse-names" : false, "suffix" : "" }, { "dropping-particle" : "", "family" : "Ferreira", "given" : "Margarida", "non-dropping-particle" : "", "parse-names" : false, "suffix" : "" } ], "container-title" : "Revista de Alimenta\u00e7\u00e3o Humana", "id" : "ITEM-2", "issue" : "2", "issued" : { "date-parts" : [ [ "1999" ] ] }, "page" : "45-53", "title" : "Antioxidantes sint\u00e9ticos dos produtos carn\u00e9os", "type" : "article-journal", "volume" : "3" }, "uris" : [ "http://www.mendeley.com/documents/?uuid=32d1408d-1178-4938-b37f-42e95785337a" ] } ], "mendeley" : { "formattedCitation" : "(Davy, 2009; Pinho, Ferreira, Oliveira, &amp; Ferreira, 1999)", "manualFormatting" : "(Davy, 2009; Pinho et al., 1999)", "plainTextFormattedCitation" : "(Davy, 2009; Pinho, Ferreira, Oliveira, &amp; Ferreira, 1999)", "previouslyFormattedCitation" : "(Davy, 2009; Pinho, Ferreira, Oliveira, &amp; Ferreira, 1999)"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(Davy, 2009; Pinho</w:t>
      </w:r>
      <w:r w:rsidR="008D5735">
        <w:rPr>
          <w:rFonts w:eastAsia="Calibri"/>
          <w:noProof/>
          <w:color w:val="auto"/>
          <w:szCs w:val="24"/>
          <w:lang w:eastAsia="en-US"/>
        </w:rPr>
        <w:t xml:space="preserve"> et al.</w:t>
      </w:r>
      <w:r w:rsidRPr="003516A7">
        <w:rPr>
          <w:rFonts w:eastAsia="Calibri"/>
          <w:noProof/>
          <w:color w:val="auto"/>
          <w:szCs w:val="24"/>
          <w:lang w:eastAsia="en-US"/>
        </w:rPr>
        <w:t>, 1999)</w:t>
      </w:r>
      <w:r w:rsidRPr="003516A7">
        <w:rPr>
          <w:rFonts w:eastAsia="Calibri"/>
          <w:color w:val="auto"/>
          <w:szCs w:val="24"/>
          <w:lang w:eastAsia="en-US"/>
        </w:rPr>
        <w:fldChar w:fldCharType="end"/>
      </w:r>
      <w:r w:rsidR="00665260">
        <w:rPr>
          <w:rFonts w:eastAsia="Calibri"/>
          <w:color w:val="auto"/>
          <w:szCs w:val="24"/>
          <w:lang w:eastAsia="en-US"/>
        </w:rPr>
        <w:t>.</w:t>
      </w:r>
    </w:p>
    <w:p w14:paraId="606A061E" w14:textId="574D1701"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Os antioxidantes sintéticos são suplementos nutricionais ou suplementos dietéticos que tem como função fornecer nutrientes como vitaminas, minerais, fibras, ácidos gordos e aminoácidos que estão ausentes ou não são consumidos na dieta da pessoa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"mendeley" : { "formattedCitation" : "(Poljsak et al., 2013)", "plainTextFormattedCitation" : "(Poljsak et al., 2013)", "previouslyFormattedCitation" :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(Poljsak et al., 2013)</w:t>
      </w:r>
      <w:r w:rsidRPr="003516A7">
        <w:rPr>
          <w:rFonts w:eastAsia="Calibri"/>
          <w:color w:val="auto"/>
          <w:szCs w:val="24"/>
          <w:lang w:eastAsia="en-US"/>
        </w:rPr>
        <w:fldChar w:fldCharType="end"/>
      </w:r>
      <w:r w:rsidRPr="003516A7">
        <w:rPr>
          <w:rFonts w:eastAsia="Calibri"/>
          <w:color w:val="auto"/>
          <w:szCs w:val="24"/>
          <w:lang w:eastAsia="en-US"/>
        </w:rPr>
        <w:t xml:space="preserve">. Os mais usados na indústria alimentar são butil-hidroxi-anisol (BHA), butil-hidroxi-tolueno (BHT), propil-galato (PG) e Terc-butil-hidroquinona (TBHQ)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"Davy", "given" : "Humphry", "non-dropping-particle" : "", "parse-names" : false, "suffix" : "" } ], "container-title" : "Food ingredients Brasil", "id" : "ITEM-1", "issued" : { "date-parts" : [ [ "2009" ] ] }, "page" : "16-31", "title" : "Os antioxidantes", "type" : "article-magazine", "volume" : "6" }, "uris" : [ "http://www.mendeley.com/documents/?uuid=7b387cba-5452-40e3-9ca9-71b420eedebc" ] } ], "mendeley" : { "formattedCitation" : "(Davy, 2009)", "plainTextFormattedCitation" : "(Davy, 2009)", "previouslyFormattedCitation" : "(Davy, 2009)"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(Davy, 2009)</w:t>
      </w:r>
      <w:r w:rsidRPr="003516A7">
        <w:rPr>
          <w:rFonts w:eastAsia="Calibri"/>
          <w:color w:val="auto"/>
          <w:szCs w:val="24"/>
          <w:lang w:eastAsia="en-US"/>
        </w:rPr>
        <w:fldChar w:fldCharType="end"/>
      </w:r>
      <w:r w:rsidRPr="003516A7">
        <w:rPr>
          <w:rFonts w:eastAsia="Calibri"/>
          <w:color w:val="auto"/>
          <w:szCs w:val="24"/>
          <w:lang w:eastAsia="en-US"/>
        </w:rPr>
        <w:t xml:space="preserve">. A estrutura destes compostos permite doar um </w:t>
      </w:r>
      <w:r w:rsidR="00DA0A89">
        <w:rPr>
          <w:rFonts w:eastAsia="Calibri"/>
          <w:color w:val="auto"/>
          <w:szCs w:val="24"/>
          <w:lang w:eastAsia="en-US"/>
        </w:rPr>
        <w:t>hidrogénio</w:t>
      </w:r>
      <w:r w:rsidRPr="003516A7">
        <w:rPr>
          <w:rFonts w:eastAsia="Calibri"/>
          <w:color w:val="auto"/>
          <w:szCs w:val="24"/>
          <w:lang w:eastAsia="en-US"/>
        </w:rPr>
        <w:t xml:space="preserve"> ao radical livre, interrompendo assim o processo de oxidação.</w:t>
      </w:r>
    </w:p>
    <w:p w14:paraId="5E799905" w14:textId="02627C68"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Este tipo de antioxidantes é muito utilizado pela indústria alimentar uma vez que a produção dos radicais livres aumenta co</w:t>
      </w:r>
      <w:r w:rsidR="00DA0A89">
        <w:rPr>
          <w:rFonts w:eastAsia="Calibri"/>
          <w:color w:val="auto"/>
          <w:szCs w:val="24"/>
          <w:lang w:eastAsia="en-US"/>
        </w:rPr>
        <w:t>e</w:t>
      </w:r>
      <w:r w:rsidRPr="003516A7">
        <w:rPr>
          <w:rFonts w:eastAsia="Calibri"/>
          <w:color w:val="auto"/>
          <w:szCs w:val="24"/>
          <w:lang w:eastAsia="en-US"/>
        </w:rPr>
        <w:t>m a idade enquanto alguns dos mecanismos de defesa endógena diminuem, resultando o envelhecimento, como tal devem usar</w:t>
      </w:r>
      <w:r w:rsidR="00D87BF3">
        <w:rPr>
          <w:rFonts w:eastAsia="Calibri"/>
          <w:color w:val="auto"/>
          <w:szCs w:val="24"/>
          <w:lang w:eastAsia="en-US"/>
        </w:rPr>
        <w:t>-se</w:t>
      </w:r>
      <w:r w:rsidR="0033358E">
        <w:rPr>
          <w:rFonts w:eastAsia="Calibri"/>
          <w:color w:val="auto"/>
          <w:szCs w:val="24"/>
          <w:lang w:eastAsia="en-US"/>
        </w:rPr>
        <w:t xml:space="preserve"> </w:t>
      </w:r>
      <w:r w:rsidRPr="003516A7">
        <w:rPr>
          <w:rFonts w:eastAsia="Calibri"/>
          <w:color w:val="auto"/>
          <w:szCs w:val="24"/>
          <w:lang w:eastAsia="en-US"/>
        </w:rPr>
        <w:lastRenderedPageBreak/>
        <w:t xml:space="preserve">suplementos </w:t>
      </w:r>
      <w:proofErr w:type="gramStart"/>
      <w:r w:rsidRPr="003516A7">
        <w:rPr>
          <w:rFonts w:eastAsia="Calibri"/>
          <w:color w:val="auto"/>
          <w:szCs w:val="24"/>
          <w:lang w:eastAsia="en-US"/>
        </w:rPr>
        <w:t>de forma a que</w:t>
      </w:r>
      <w:proofErr w:type="gramEnd"/>
      <w:r w:rsidRPr="003516A7">
        <w:rPr>
          <w:rFonts w:eastAsia="Calibri"/>
          <w:color w:val="auto"/>
          <w:szCs w:val="24"/>
          <w:lang w:eastAsia="en-US"/>
        </w:rPr>
        <w:t xml:space="preserve"> permaneça um equilíbrio e se minimizem os níveis de ROS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"mendeley" : { "formattedCitation" : "(Poljsak et al., 2013)", "plainTextFormattedCitation" : "(Poljsak et al., 2013)", "previouslyFormattedCitation" :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(Poljsak et al., 2013)</w:t>
      </w:r>
      <w:r w:rsidRPr="003516A7">
        <w:rPr>
          <w:rFonts w:eastAsia="Calibri"/>
          <w:color w:val="auto"/>
          <w:szCs w:val="24"/>
          <w:lang w:eastAsia="en-US"/>
        </w:rPr>
        <w:fldChar w:fldCharType="end"/>
      </w:r>
    </w:p>
    <w:p w14:paraId="79F032C6" w14:textId="2BD3B354"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No entanto, o uso destes é limitado e por motivos de segurança defende-se que devem ser substituídos pelos antioxidantes naturais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"Davy", "given" : "Humphry", "non-dropping-particle" : "", "parse-names" : false, "suffix" : "" } ], "container-title" : "Food ingredients Brasil", "id" : "ITEM-1", "issued" : { "date-parts" : [ [ "2009" ] ] }, "page" : "16-31", "title" : "Os antioxidantes", "type" : "article-magazine", "volume" : "6" }, "uris" : [ "http://www.mendeley.com/documents/?uuid=7b387cba-5452-40e3-9ca9-71b420eedebc" ] }, { "id" : "ITEM-2", "itemData" : { "author" : [ { "dropping-particle" : "", "family" : "Pinho", "given" : "Olivia", "non-dropping-particle" : "", "parse-names" : false, "suffix" : "" }, { "dropping-particle" : "", "family" : "Ferreira", "given" : "Isabel MPLVO", "non-dropping-particle" : "", "parse-names" : false, "suffix" : "" }, { "dropping-particle" : "", "family" : "Oliveira", "given" : "M Beatriz PP", "non-dropping-particle" : "", "parse-names" : false, "suffix" : "" }, { "dropping-particle" : "", "family" : "Ferreira", "given" : "Margarida", "non-dropping-particle" : "", "parse-names" : false, "suffix" : "" } ], "container-title" : "Revista de Alimenta\u00e7\u00e3o Humana", "id" : "ITEM-2", "issue" : "2", "issued" : { "date-parts" : [ [ "1999" ] ] }, "page" : "45-53", "title" : "Antioxidantes sint\u00e9ticos dos produtos carn\u00e9os", "type" : "article-journal", "volume" : "3" }, "uris" : [ "http://www.mendeley.com/documents/?uuid=32d1408d-1178-4938-b37f-42e95785337a" ] } ], "mendeley" : { "formattedCitation" : "(Davy, 2009; Pinho et al., 1999)", "plainTextFormattedCitation" : "(Davy, 2009; Pinho et al., 1999)", "previouslyFormattedCitation" : "(Davy, 2009; Pinho et al., 1999)"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(Davy, 2009; Pinho et al., 1999)</w:t>
      </w:r>
      <w:r w:rsidRPr="003516A7">
        <w:rPr>
          <w:rFonts w:eastAsia="Calibri"/>
          <w:color w:val="auto"/>
          <w:szCs w:val="24"/>
          <w:lang w:eastAsia="en-US"/>
        </w:rPr>
        <w:fldChar w:fldCharType="end"/>
      </w:r>
      <w:r w:rsidRPr="003516A7">
        <w:rPr>
          <w:rFonts w:eastAsia="Calibri"/>
          <w:color w:val="auto"/>
          <w:szCs w:val="24"/>
          <w:lang w:eastAsia="en-US"/>
        </w:rPr>
        <w:t>. Pois o mau uso dos suplementos dietéticos</w:t>
      </w:r>
      <w:r w:rsidR="00777EAD">
        <w:rPr>
          <w:rFonts w:eastAsia="Calibri"/>
          <w:color w:val="auto"/>
          <w:szCs w:val="24"/>
          <w:lang w:eastAsia="en-US"/>
        </w:rPr>
        <w:t>,</w:t>
      </w:r>
      <w:r w:rsidRPr="003516A7">
        <w:rPr>
          <w:rFonts w:eastAsia="Calibri"/>
          <w:color w:val="auto"/>
          <w:szCs w:val="24"/>
          <w:lang w:eastAsia="en-US"/>
        </w:rPr>
        <w:t xml:space="preserve"> pode levar a um “</w:t>
      </w:r>
      <w:proofErr w:type="gramStart"/>
      <w:r w:rsidRPr="003516A7">
        <w:rPr>
          <w:rFonts w:eastAsia="Calibri"/>
          <w:color w:val="auto"/>
          <w:szCs w:val="24"/>
          <w:lang w:eastAsia="en-US"/>
        </w:rPr>
        <w:t>stress</w:t>
      </w:r>
      <w:proofErr w:type="gramEnd"/>
      <w:r w:rsidRPr="003516A7">
        <w:rPr>
          <w:rFonts w:eastAsia="Calibri"/>
          <w:color w:val="auto"/>
          <w:szCs w:val="24"/>
          <w:lang w:eastAsia="en-US"/>
        </w:rPr>
        <w:t xml:space="preserve"> antioxidante” e provocar um</w:t>
      </w:r>
      <w:r>
        <w:rPr>
          <w:rFonts w:eastAsia="Calibri"/>
          <w:color w:val="auto"/>
          <w:szCs w:val="24"/>
          <w:lang w:eastAsia="en-US"/>
        </w:rPr>
        <w:t xml:space="preserve"> </w:t>
      </w:r>
      <w:r w:rsidRPr="003516A7">
        <w:rPr>
          <w:rFonts w:eastAsia="Calibri"/>
          <w:color w:val="auto"/>
          <w:szCs w:val="24"/>
          <w:lang w:eastAsia="en-US"/>
        </w:rPr>
        <w:t>desequilíbrio com efeitos negativos no organismo, como problemas de coagulação de sangue levando a hemorragias, diarreias, distúrbios gastrintestinais, cancro, arteriosclerose, pedras no rim, hiperbetacarote</w:t>
      </w:r>
      <w:r w:rsidR="00777EAD">
        <w:rPr>
          <w:rFonts w:eastAsia="Calibri"/>
          <w:color w:val="auto"/>
          <w:szCs w:val="24"/>
          <w:lang w:eastAsia="en-US"/>
        </w:rPr>
        <w:t>ne</w:t>
      </w:r>
      <w:r w:rsidRPr="003516A7">
        <w:rPr>
          <w:rFonts w:eastAsia="Calibri"/>
          <w:color w:val="auto"/>
          <w:szCs w:val="24"/>
          <w:lang w:eastAsia="en-US"/>
        </w:rPr>
        <w:t xml:space="preserve">mia, perda de cabelo, fadiga, anormalidades no sistema nervoso, entre outros </w:t>
      </w:r>
      <w:r w:rsidRPr="003516A7">
        <w:rPr>
          <w:rFonts w:eastAsia="Calibri"/>
          <w:color w:val="auto"/>
          <w:szCs w:val="24"/>
          <w:lang w:eastAsia="en-US"/>
        </w:rPr>
        <w:fldChar w:fldCharType="begin" w:fldLock="1"/>
      </w:r>
      <w:r w:rsidR="004C0F6E">
        <w:rPr>
          <w:rFonts w:eastAsia="Calibri"/>
          <w:color w:val="auto"/>
          <w:szCs w:val="24"/>
          <w:lang w:eastAsia="en-US"/>
        </w:rPr>
        <w:instrText>ADDIN CSL_CITATION { "citationItems" : [ { "id" : "ITEM-1", "itemData" : { "DOI" : "10.1155/2013/956792", "author" : [ { "dropping-particle" : "", "family" : "Poljsak", "given" : "Borut", "non-dropping-particle" : "", "parse-names" : false, "suffix" : "" }, { "dropping-particle" : "", "family" : "\u0160uput", "given" : "Du\u0161an", "non-dropping-particle" : "", "parse-names" : false, "suffix" : "" }, { "dropping-particle" : "", "family" : "Milisav", "given" : "Irina", "non-dropping-particle" : "", "parse-names" : false, "suffix" : "" } ], "container-title" : "Oxidative Medicine and Cellular Longevity", "id" : "ITEM-1", "issued" : { "date-parts" : [ [ "2013" ] ] }, "page" : "11", "title" : "Achieving the Balance between ROS and Antioxidants : When to Use the Synthetic Antioxidants", "type" : "article-journal", "volume" : "2013" }, "uris" : [ "http://www.mendeley.com/documents/?uuid=6a4fd643-3b9f-48f9-ac11-0230a16cc4a1" ] }, { "id" : "ITEM-2", "itemData" : { "author" : [ { "dropping-particle" : "", "family" : "Davy", "given" : "Humphry", "non-dropping-particle" : "", "parse-names" : false, "suffix" : "" } ], "container-title" : "Food ingredients Brasil", "id" : "ITEM-2", "issued" : { "date-parts" : [ [ "2009" ] ] }, "page" : "16-31", "title" : "Os antioxidantes", "type" : "article-magazine", "volume" : "6" }, "uris" : [ "http://www.mendeley.com/documents/?uuid=7b387cba-5452-40e3-9ca9-71b420eedebc" ] } ], "mendeley" : { "formattedCitation" : "(Davy, 2009; Poljsak et al., 2013)", "plainTextFormattedCitation" : "(Davy, 2009; Poljsak et al., 2013)", "previouslyFormattedCitation" : "(Davy, 2009; Poljsak et al., 2013)"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(Davy, 2009; Poljsak et al., 2013)</w:t>
      </w:r>
      <w:r w:rsidRPr="003516A7">
        <w:rPr>
          <w:rFonts w:eastAsia="Calibri"/>
          <w:color w:val="auto"/>
          <w:szCs w:val="24"/>
          <w:lang w:eastAsia="en-US"/>
        </w:rPr>
        <w:fldChar w:fldCharType="end"/>
      </w:r>
      <w:r w:rsidRPr="003516A7">
        <w:rPr>
          <w:rFonts w:eastAsia="Calibri"/>
          <w:color w:val="auto"/>
          <w:szCs w:val="24"/>
          <w:lang w:eastAsia="en-US"/>
        </w:rPr>
        <w:t>.</w:t>
      </w:r>
    </w:p>
    <w:p w14:paraId="0ED8CD98" w14:textId="7DA5C63A" w:rsidR="00F23D90"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Já os antioxidantes naturais são as substâncias bioativas obtidas em todo o alimento, principalmente vegetais, encontradas nas folhas, flores, raízes, sementes das frutas e dos legumes, hortaliça e cereais integrais </w:t>
      </w:r>
      <w:r w:rsidRPr="003516A7">
        <w:rPr>
          <w:rFonts w:eastAsia="Calibri"/>
          <w:color w:val="auto"/>
          <w:szCs w:val="24"/>
          <w:lang w:eastAsia="en-US"/>
        </w:rPr>
        <w:fldChar w:fldCharType="begin" w:fldLock="1"/>
      </w:r>
      <w:r w:rsidR="00703FCF">
        <w:rPr>
          <w:rFonts w:eastAsia="Calibri"/>
          <w:color w:val="auto"/>
          <w:szCs w:val="24"/>
          <w:lang w:eastAsia="en-US"/>
        </w:rPr>
        <w:instrText>ADDIN CSL_CITATION { "citationItems" : [ { "id" : "ITEM-1", "itemData" : { "DOI" : "10.1021/bk-1992-0507.ch005", "ISBN" : "9780841224766", "author" : [ { "dropping-particle" : "", "family" : "Pratt", "given" : "D.E.", "non-dropping-particle" : "", "parse-names" : false, "suffix" : "" } ], "chapter-number" : "5", "container-title" : "Natural Antioxidants from Plant Material", "id" : "ITEM-1", "issued" : { "date-parts" : [ [ "1992" ] ] }, "page" : "54\u201371", "publisher" : "ACS Symposium Series", "publisher-place" : "West Lafayette", "title" : "Phenolic Compounds in Food and Their Effects on Health", "type" : "chapter" }, "uris" : [ "http://www.mendeley.com/documents/?uuid=e794f5bf-e693-48d9-9838-0619e0858334" ] }, { "id" : "ITEM-2", "itemData" : { "author" : [ { "dropping-particle" : "", "family" : "Davy", "given" : "Humphry", "non-dropping-particle" : "", "parse-names" : false, "suffix" : "" } ], "container-title" : "Food ingredients Brasil", "id" : "ITEM-2", "issued" : { "date-parts" : [ [ "2009" ] ] }, "page" : "16-31", "title" : "Os antioxidantes", "type" : "article-magazine", "volume" : "6" }, "uris" : [ "http://www.mendeley.com/documents/?uuid=7b387cba-5452-40e3-9ca9-71b420eedebc" ] } ], "mendeley" : { "formattedCitation" : "(Davy, 2009; Pratt, 1992)", "plainTextFormattedCitation" : "(Davy, 2009; Pratt, 1992)", "previouslyFormattedCitation" : "(Davy, 2009; Pratt, 1992)" }, "properties" : { "noteIndex" : 0 }, "schema" : "https://github.com/citation-style-language/schema/raw/master/csl-citation.json" }</w:instrText>
      </w:r>
      <w:r w:rsidRPr="003516A7">
        <w:rPr>
          <w:rFonts w:eastAsia="Calibri"/>
          <w:color w:val="auto"/>
          <w:szCs w:val="24"/>
          <w:lang w:eastAsia="en-US"/>
        </w:rPr>
        <w:fldChar w:fldCharType="separate"/>
      </w:r>
      <w:r w:rsidR="00703FCF" w:rsidRPr="00703FCF">
        <w:rPr>
          <w:rFonts w:eastAsia="Calibri"/>
          <w:noProof/>
          <w:color w:val="auto"/>
          <w:szCs w:val="24"/>
          <w:lang w:eastAsia="en-US"/>
        </w:rPr>
        <w:t>(Davy, 2009; Pratt, 1992)</w:t>
      </w:r>
      <w:r w:rsidRPr="003516A7">
        <w:rPr>
          <w:rFonts w:eastAsia="Calibri"/>
          <w:color w:val="auto"/>
          <w:szCs w:val="24"/>
          <w:lang w:eastAsia="en-US"/>
        </w:rPr>
        <w:fldChar w:fldCharType="end"/>
      </w:r>
      <w:r w:rsidRPr="003516A7">
        <w:rPr>
          <w:rFonts w:eastAsia="Calibri"/>
          <w:color w:val="auto"/>
          <w:szCs w:val="24"/>
          <w:lang w:eastAsia="en-US"/>
        </w:rPr>
        <w:t xml:space="preserve">. São um grupo heterogéneo de substâncias onde se encontram vitaminas, minerais, pigmentos naturais, </w:t>
      </w:r>
      <w:r w:rsidR="00DA0A89">
        <w:rPr>
          <w:rFonts w:eastAsia="Calibri"/>
          <w:color w:val="auto"/>
          <w:szCs w:val="24"/>
          <w:lang w:eastAsia="en-US"/>
        </w:rPr>
        <w:t>enzimas, bloqueando os efeitos nefastos dos radicais livres.</w:t>
      </w:r>
    </w:p>
    <w:p w14:paraId="2E53F6D8" w14:textId="59668EFF"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Os antioxidantes naturais podem funcionar como agentes de redução, sequestradores de radicais livres, complexos metálicos de pró-oxidantes ou supressores da formação de oxigénio singleto, tendo como maior valor a sua atividade antioxidante primária </w:t>
      </w:r>
      <w:r w:rsidRPr="003516A7">
        <w:rPr>
          <w:rFonts w:eastAsia="Calibri"/>
          <w:color w:val="auto"/>
          <w:szCs w:val="24"/>
          <w:lang w:eastAsia="en-US"/>
        </w:rPr>
        <w:fldChar w:fldCharType="begin" w:fldLock="1"/>
      </w:r>
      <w:r w:rsidR="00703FCF">
        <w:rPr>
          <w:rFonts w:eastAsia="Calibri"/>
          <w:color w:val="auto"/>
          <w:szCs w:val="24"/>
          <w:lang w:eastAsia="en-US"/>
        </w:rPr>
        <w:instrText>ADDIN CSL_CITATION { "citationItems" : [ { "id" : "ITEM-1", "itemData" : { "DOI" : "10.1021/bk-1992-0507.ch005", "ISBN" : "9780841224766", "author" : [ { "dropping-particle" : "", "family" : "Pratt", "given" : "D.E.", "non-dropping-particle" : "", "parse-names" : false, "suffix" : "" } ], "chapter-number" : "5", "container-title" : "Natural Antioxidants from Plant Material", "id" : "ITEM-1", "issued" : { "date-parts" : [ [ "1992" ] ] }, "page" : "54\u201371", "publisher" : "ACS Symposium Series", "publisher-place" : "West Lafayette", "title" : "Phenolic Compounds in Food and Their Effects on Health", "type" : "chapter" }, "uris" : [ "http://www.mendeley.com/documents/?uuid=e794f5bf-e693-48d9-9838-0619e0858334" ] } ], "mendeley" : { "formattedCitation" : "(Pratt, 1992)", "plainTextFormattedCitation" : "(Pratt, 1992)", "previouslyFormattedCitation" : "(Pratt, 1992)" }, "properties" : { "noteIndex" : 0 }, "schema" : "https://github.com/citation-style-language/schema/raw/master/csl-citation.json" }</w:instrText>
      </w:r>
      <w:r w:rsidRPr="003516A7">
        <w:rPr>
          <w:rFonts w:eastAsia="Calibri"/>
          <w:color w:val="auto"/>
          <w:szCs w:val="24"/>
          <w:lang w:eastAsia="en-US"/>
        </w:rPr>
        <w:fldChar w:fldCharType="separate"/>
      </w:r>
      <w:r w:rsidR="00703FCF" w:rsidRPr="00703FCF">
        <w:rPr>
          <w:rFonts w:eastAsia="Calibri"/>
          <w:noProof/>
          <w:color w:val="auto"/>
          <w:szCs w:val="24"/>
          <w:lang w:eastAsia="en-US"/>
        </w:rPr>
        <w:t>(Pratt, 1992)</w:t>
      </w:r>
      <w:r w:rsidRPr="003516A7">
        <w:rPr>
          <w:rFonts w:eastAsia="Calibri"/>
          <w:color w:val="auto"/>
          <w:szCs w:val="24"/>
          <w:lang w:eastAsia="en-US"/>
        </w:rPr>
        <w:fldChar w:fldCharType="end"/>
      </w:r>
      <w:r w:rsidRPr="003516A7">
        <w:rPr>
          <w:rFonts w:eastAsia="Calibri"/>
          <w:color w:val="auto"/>
          <w:szCs w:val="24"/>
          <w:lang w:eastAsia="en-US"/>
        </w:rPr>
        <w:t>.</w:t>
      </w:r>
    </w:p>
    <w:p w14:paraId="66317FE7" w14:textId="35624636"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Estes antioxidantes são considerados mais seguros uma vez que ocorrem em vegetais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"10.3989/gya.2003.v54.i3.245", "author" : [ { "dropping-particle" : "", "family" : "Sanhueza", "given" : "Julio", "non-dropping-particle" : "", "parse-names" : false, "suffix" : "" }, { "dropping-particle" : "", "family" : "Nieto", "given" : "Susana", "non-dropping-particle" : "", "parse-names" : false, "suffix" : "" } ], "container-title" : "Grasas y Aceites", "id" : "ITEM-1", "issue" : "3", "issued" : { "date-parts" : [ [ "2003" ] ] }, "page" : "295-303", "title" : "Natural antioxidants in functional foods : from food safety to health benefits", "type" : "article-journal", "volume" : "54" }, "uris" : [ "http://www.mendeley.com/documents/?uuid=ed7c8115-fe91-4a65-8652-ec5139df6e71" ] } ], "mendeley" : { "formattedCitation" : "(Sanhueza &amp; Nieto, 2003)", "plainTextFormattedCitation" : "(Sanhueza &amp; Nieto, 2003)", "previouslyFormattedCitation" : "(Sanhueza &amp; Nieto, 2003)"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(Sanhueza &amp; Nieto, 2003)</w:t>
      </w:r>
      <w:r w:rsidRPr="003516A7">
        <w:rPr>
          <w:rFonts w:eastAsia="Calibri"/>
          <w:color w:val="auto"/>
          <w:szCs w:val="24"/>
          <w:lang w:eastAsia="en-US"/>
        </w:rPr>
        <w:fldChar w:fldCharType="end"/>
      </w:r>
      <w:r w:rsidRPr="003516A7">
        <w:rPr>
          <w:rFonts w:eastAsia="Calibri"/>
          <w:color w:val="auto"/>
          <w:szCs w:val="24"/>
          <w:lang w:eastAsia="en-US"/>
        </w:rPr>
        <w:t xml:space="preserve">. Uma vez que os tecidos dos alimentos estão em constante </w:t>
      </w:r>
      <w:proofErr w:type="gramStart"/>
      <w:r w:rsidRPr="003516A7">
        <w:rPr>
          <w:rFonts w:eastAsia="Calibri"/>
          <w:color w:val="auto"/>
          <w:szCs w:val="24"/>
          <w:lang w:eastAsia="en-US"/>
        </w:rPr>
        <w:t>stress</w:t>
      </w:r>
      <w:proofErr w:type="gramEnd"/>
      <w:r w:rsidRPr="003516A7">
        <w:rPr>
          <w:rFonts w:eastAsia="Calibri"/>
          <w:color w:val="auto"/>
          <w:szCs w:val="24"/>
          <w:lang w:eastAsia="en-US"/>
        </w:rPr>
        <w:t xml:space="preserve"> oxidativo devido aos radicais livres e ROS presentes e a outros pró-oxidantes que são gerados, tanto endogenamente (H</w:t>
      </w:r>
      <w:r w:rsidRPr="003516A7">
        <w:rPr>
          <w:rFonts w:eastAsia="Calibri"/>
          <w:color w:val="auto"/>
          <w:szCs w:val="24"/>
          <w:vertAlign w:val="subscript"/>
          <w:lang w:eastAsia="en-US"/>
        </w:rPr>
        <w:t>2</w:t>
      </w:r>
      <w:r w:rsidRPr="003516A7">
        <w:rPr>
          <w:rFonts w:eastAsia="Calibri"/>
          <w:color w:val="auto"/>
          <w:szCs w:val="24"/>
          <w:lang w:eastAsia="en-US"/>
        </w:rPr>
        <w:t>O</w:t>
      </w:r>
      <w:r w:rsidRPr="003516A7">
        <w:rPr>
          <w:rFonts w:eastAsia="Calibri"/>
          <w:color w:val="auto"/>
          <w:szCs w:val="24"/>
          <w:vertAlign w:val="subscript"/>
          <w:lang w:eastAsia="en-US"/>
        </w:rPr>
        <w:t>2</w:t>
      </w:r>
      <w:r w:rsidRPr="003516A7">
        <w:rPr>
          <w:rFonts w:eastAsia="Calibri"/>
          <w:color w:val="auto"/>
          <w:szCs w:val="24"/>
          <w:lang w:eastAsia="en-US"/>
        </w:rPr>
        <w:t xml:space="preserve"> e metais de transição) como exogenamente (calor e luz)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"10.1111/j.1541-4337.2011.00156.x", "author" : [ { "dropping-particle" : "", "family" : "Brewer", "given" : "M S", "non-dropping-particle" : "", "parse-names" : false, "suffix" : "" } ], "container-title" : "Food Science and Food Safety", "id" : "ITEM-1", "issued" : { "date-parts" : [ [ "2011" ] ] }, "page" : "221-248", "title" : "Natural Antioxidants : Sources , Compounds , Mechanisms of Action , and Potential Applications", "type" : "article-journal", "volume" : "10" }, "uris" : [ "http://www.mendeley.com/documents/?uuid=fe8f9436-7ba8-4658-8083-10e6b4a10ad5" ] } ], "mendeley" : { "formattedCitation" : "(Brewer, 2011)", "plainTextFormattedCitation" : "(Brewer, 2011)", "previouslyFormattedCitation" : "(Brewer, 2011)"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(Brewer, 2011)</w:t>
      </w:r>
      <w:r w:rsidRPr="003516A7">
        <w:rPr>
          <w:rFonts w:eastAsia="Calibri"/>
          <w:color w:val="auto"/>
          <w:szCs w:val="24"/>
          <w:lang w:eastAsia="en-US"/>
        </w:rPr>
        <w:fldChar w:fldCharType="end"/>
      </w:r>
      <w:r w:rsidRPr="003516A7">
        <w:rPr>
          <w:rFonts w:eastAsia="Calibri"/>
          <w:color w:val="auto"/>
          <w:szCs w:val="24"/>
          <w:lang w:eastAsia="en-US"/>
        </w:rPr>
        <w:t xml:space="preserve">. Os alimentos defendem-se produzindo também defesas de proteção antioxidante para controlar a produção dos radicais livres, catalisadores de oxidação lipídica, intermédios de oxidação e produtos secundários de degradação, conduzindo a proteção dos mesmos acabando por se preservarem, através do retardamento da deterioração, estado de rancidez e da sua descoloração </w:t>
      </w:r>
      <w:proofErr w:type="gramStart"/>
      <w:r w:rsidRPr="003516A7">
        <w:rPr>
          <w:rFonts w:eastAsia="Calibri"/>
          <w:color w:val="auto"/>
          <w:szCs w:val="24"/>
          <w:lang w:eastAsia="en-US"/>
        </w:rPr>
        <w:t xml:space="preserve">da </w:t>
      </w:r>
      <w:r w:rsidR="0090513F">
        <w:rPr>
          <w:rFonts w:eastAsia="Calibri"/>
          <w:color w:val="auto"/>
          <w:szCs w:val="24"/>
          <w:lang w:eastAsia="en-US"/>
        </w:rPr>
        <w:t>a</w:t>
      </w:r>
      <w:r w:rsidR="0090513F" w:rsidRPr="003516A7">
        <w:rPr>
          <w:rFonts w:eastAsia="Calibri"/>
          <w:color w:val="auto"/>
          <w:szCs w:val="24"/>
          <w:lang w:eastAsia="en-US"/>
        </w:rPr>
        <w:t>uto</w:t>
      </w:r>
      <w:proofErr w:type="gramEnd"/>
      <w:r w:rsidR="0090513F" w:rsidRPr="003516A7">
        <w:rPr>
          <w:rFonts w:eastAsia="Calibri"/>
          <w:color w:val="auto"/>
          <w:szCs w:val="24"/>
          <w:lang w:eastAsia="en-US"/>
        </w:rPr>
        <w:t xml:space="preserve"> oxidação</w:t>
      </w:r>
      <w:r w:rsidRPr="003516A7">
        <w:rPr>
          <w:rFonts w:eastAsia="Calibri"/>
          <w:color w:val="auto"/>
          <w:szCs w:val="24"/>
          <w:lang w:eastAsia="en-US"/>
        </w:rPr>
        <w:t xml:space="preserve">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"Davy", "given" : "Humphry", "non-dropping-particle" : "", "parse-names" : false, "suffix" : "" } ], "container-title" : "Food ingredients Brasil", "id" : "ITEM-1", "issued" : { "date-parts" : [ [ "2009" ] ] }, "page" : "16-31", "title" : "Os antioxidantes", "type" : "article-magazine", "volume" : "6" }, "uris" : [ "http://www.mendeley.com/documents/?uuid=7b387cba-5452-40e3-9ca9-71b420eedebc" ] }, { "id" : "ITEM-2", "itemData" : { "DOI" : "10.1111/j.1541-4337.2011.00156.x", "author" : [ { "dropping-particle" : "", "family" : "Brewer", "given" : "M S", "non-dropping-particle" : "", "parse-names" : false, "suffix" : "" } ], "container-title" : "Food Science and Food Safety", "id" : "ITEM-2", "issued" : { "date-parts" : [ [ "2011" ] ] }, "page" : "221-248", "title" : "Natural Antioxidants : Sources , Compounds , Mechanisms of Action , and Potential Applications", "type" : "article-journal", "volume" : "10" }, "uris" : [ "http://www.mendeley.com/documents/?uuid=fe8f9436-7ba8-4658-8083-10e6b4a10ad5" ] } ], "mendeley" : { "formattedCitation" : "(Brewer, 2011; Davy, 2009)", "plainTextFormattedCitation" : "(Brewer, 2011; Davy, 2009)", "previouslyFormattedCitation" : "(Brewer, 2011; Davy, 2009)"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(Brewer, 2011; Davy, 2009)</w:t>
      </w:r>
      <w:r w:rsidRPr="003516A7">
        <w:rPr>
          <w:rFonts w:eastAsia="Calibri"/>
          <w:color w:val="auto"/>
          <w:szCs w:val="24"/>
          <w:lang w:eastAsia="en-US"/>
        </w:rPr>
        <w:fldChar w:fldCharType="end"/>
      </w:r>
      <w:r w:rsidRPr="003516A7">
        <w:rPr>
          <w:rFonts w:eastAsia="Calibri"/>
          <w:color w:val="auto"/>
          <w:szCs w:val="24"/>
          <w:lang w:eastAsia="en-US"/>
        </w:rPr>
        <w:t>.</w:t>
      </w:r>
    </w:p>
    <w:p w14:paraId="1404AD0B"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Quanto ao mecanismo de ação preventivo, estes interferem no início do processo de oxidação decompondo os peróxidos e inativando o sistema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"Pinho", "given" : "Olivia", "non-dropping-particle" : "", "parse-names" : false, "suffix" : "" }, { "dropping-particle" : "", "family" : "Ferreira", "given" : "Isabel MPLVO", "non-dropping-particle" : "", "parse-names" : false, "suffix" : "" }, { "dropping-particle" : "", "family" : "Oliveira", "given" : "M Beatriz PP", "non-dropping-particle" : "", "parse-names" : false, "suffix" : "" }, { "dropping-particle" : "", "family" : "Ferreira", "given" : "Margarida", "non-dropping-particle" : "", "parse-names" : false, "suffix" : "" } ], "container-title" : "Revista de Alimenta\u00e7\u00e3o Humana", "id" : "ITEM-1", "issue" : "2", "issued" : { "date-parts" : [ [ "1999" ] ] }, "page" : "45-53", "title" : "Antioxidantes sint\u00e9ticos dos produtos carn\u00e9os", "type" : "article-journal", "volume" : "3" }, "uris" : [ "http://www.mendeley.com/documents/?uuid=32d1408d-1178-4938-b37f-42e95785337a" ] } ], "mendeley" : { "formattedCitation" : "(Pinho et al., 1999)", "plainTextFormattedCitation" : "(Pinho et al., 1999)", "previouslyFormattedCitation" : "(Pinho et al., 1999)"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(Pinho et al., 1999)</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126F3699"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lastRenderedPageBreak/>
        <w:t>Os antioxidantes bloqueadores de cadeias interrompem o prolongamento da cadeia que já fora iniciado e onde já se verificou a formação de radicais livres. O antioxidante vai intervir à medida que os radicais livres são gerados, convertendo-os em estruturas estáveis</w:t>
      </w:r>
      <w:r>
        <w:rPr>
          <w:rFonts w:eastAsia="Calibri"/>
          <w:color w:val="auto"/>
          <w:szCs w:val="24"/>
          <w:lang w:eastAsia="en-US"/>
        </w:rPr>
        <w:t xml:space="preserve"> </w:t>
      </w:r>
      <w:r w:rsidRPr="003516A7">
        <w:rPr>
          <w:rFonts w:eastAsia="Calibri"/>
          <w:color w:val="auto"/>
          <w:szCs w:val="24"/>
          <w:lang w:eastAsia="en-US"/>
        </w:rPr>
        <w:t xml:space="preserve">e sem energia suficiente para reagir com a gordura e formar novos radicais livres. Estas moléculas constituem uma estrutura fenólica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"author" : [ { "dropping-particle" : "", "family" : "Pinho", "given" : "Olivia", "non-dropping-particle" : "", "parse-names" : false, "suffix" : "" }, { "dropping-particle" : "", "family" : "Ferreira", "given" : "Isabel MPLVO", "non-dropping-particle" : "", "parse-names" : false, "suffix" : "" }, { "dropping-particle" : "", "family" : "Oliveira", "given" : "M Beatriz PP", "non-dropping-particle" : "", "parse-names" : false, "suffix" : "" }, { "dropping-particle" : "", "family" : "Ferreira", "given" : "Margarida", "non-dropping-particle" : "", "parse-names" : false, "suffix" : "" } ], "container-title" : "Revista de Alimenta\u00e7\u00e3o Humana", "id" : "ITEM-1", "issue" : "2", "issued" : { "date-parts" : [ [ "1999" ] ] }, "page" : "45-53", "title" : "Antioxidantes sint\u00e9ticos dos produtos carn\u00e9os", "type" : "article-journal", "volume" : "3" }, "uris" : [ "http://www.mendeley.com/documents/?uuid=32d1408d-1178-4938-b37f-42e95785337a" ] } ], "mendeley" : { "formattedCitation" : "(Pinho et al., 1999)", "plainTextFormattedCitation" : "(Pinho et al., 1999)", "previouslyFormattedCitation" : "(Pinho et al., 1999)"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(Pinho et al., 1999)</w:t>
      </w:r>
      <w:r w:rsidRPr="003516A7">
        <w:rPr>
          <w:rFonts w:eastAsia="Calibri"/>
          <w:color w:val="auto"/>
          <w:szCs w:val="24"/>
          <w:lang w:eastAsia="en-US"/>
        </w:rPr>
        <w:fldChar w:fldCharType="end"/>
      </w:r>
      <w:r w:rsidRPr="003516A7">
        <w:rPr>
          <w:rFonts w:eastAsia="Calibri"/>
          <w:color w:val="auto"/>
          <w:szCs w:val="24"/>
          <w:lang w:eastAsia="en-US"/>
        </w:rPr>
        <w:t>.</w:t>
      </w:r>
    </w:p>
    <w:p w14:paraId="4F8E3684" w14:textId="77777777" w:rsidR="003516A7" w:rsidRPr="003516A7" w:rsidRDefault="003516A7" w:rsidP="003516A7">
      <w:pPr>
        <w:tabs>
          <w:tab w:val="left" w:pos="5814"/>
        </w:tabs>
        <w:spacing w:after="160" w:line="360" w:lineRule="auto"/>
        <w:ind w:left="0" w:right="0" w:firstLine="0"/>
        <w:rPr>
          <w:szCs w:val="24"/>
        </w:rPr>
      </w:pPr>
      <w:r w:rsidRPr="003516A7">
        <w:rPr>
          <w:szCs w:val="24"/>
        </w:rPr>
        <w:t xml:space="preserve">Para a escolha da seleção antioxidante a ingerir, é necessário ter em conta várias propriedades como, eficácia em baixas concentrações (0.001% a 0.01%), cor, odor, sabor, características do alimento, aplicação fácil e compatível com o alimento, estabilidade nas condições de processo e armazenamento, composto e seus subprodutos não serem tóxicos ao organismo. No caso das indústrias há fatores como a legislação, custo, e a preferência dos consumidores consoante o antioxidante </w:t>
      </w:r>
      <w:r w:rsidRPr="003516A7">
        <w:rPr>
          <w:szCs w:val="24"/>
        </w:rPr>
        <w:fldChar w:fldCharType="begin" w:fldLock="1"/>
      </w:r>
      <w:r w:rsidRPr="003516A7">
        <w:rPr>
          <w:szCs w:val="24"/>
        </w:rPr>
        <w:instrText>ADDIN CSL_CITATION { "citationItems" : [ { "id" : "ITEM-1", "itemData" : { "author" : [ { "dropping-particle" : "", "family" : "Davy", "given" : "Humphry", "non-dropping-particle" : "", "parse-names" : false, "suffix" : "" } ], "container-title" : "Food ingredients Brasil", "id" : "ITEM-1", "issued" : { "date-parts" : [ [ "2009" ] ] }, "page" : "16-31", "title" : "Os antioxidantes", "type" : "article-magazine", "volume" : "6" }, "uris" : [ "http://www.mendeley.com/documents/?uuid=7b387cba-5452-40e3-9ca9-71b420eedebc" ] } ], "mendeley" : { "formattedCitation" : "(Davy, 2009)", "plainTextFormattedCitation" : "(Davy, 2009)", "previouslyFormattedCitation" : "(Davy, 2009)" }, "properties" : { "noteIndex" : 0 }, "schema" : "https://github.com/citation-style-language/schema/raw/master/csl-citation.json" }</w:instrText>
      </w:r>
      <w:r w:rsidRPr="003516A7">
        <w:rPr>
          <w:szCs w:val="24"/>
        </w:rPr>
        <w:fldChar w:fldCharType="separate"/>
      </w:r>
      <w:r w:rsidRPr="003516A7">
        <w:rPr>
          <w:noProof/>
          <w:szCs w:val="24"/>
        </w:rPr>
        <w:t>(Davy, 2009)</w:t>
      </w:r>
      <w:r w:rsidRPr="003516A7">
        <w:rPr>
          <w:szCs w:val="24"/>
        </w:rPr>
        <w:fldChar w:fldCharType="end"/>
      </w:r>
      <w:r w:rsidRPr="003516A7">
        <w:rPr>
          <w:szCs w:val="24"/>
        </w:rPr>
        <w:t>.</w:t>
      </w:r>
    </w:p>
    <w:p w14:paraId="1DCE42DE" w14:textId="77777777" w:rsidR="008474BA" w:rsidRDefault="008474BA" w:rsidP="003516A7">
      <w:pPr>
        <w:spacing w:after="160" w:line="360" w:lineRule="auto"/>
        <w:ind w:left="0" w:right="0" w:firstLine="0"/>
      </w:pPr>
    </w:p>
    <w:p w14:paraId="0CE7FB1E" w14:textId="77777777" w:rsidR="003516A7" w:rsidRPr="008474BA" w:rsidRDefault="003516A7" w:rsidP="008474BA">
      <w:pPr>
        <w:pStyle w:val="Cabealho3"/>
        <w:rPr>
          <w:rFonts w:ascii="Times New Roman" w:hAnsi="Times New Roman" w:cs="Times New Roman"/>
          <w:color w:val="auto"/>
        </w:rPr>
      </w:pPr>
      <w:bookmarkStart w:id="17" w:name="_Toc462576795"/>
      <w:bookmarkStart w:id="18" w:name="_Toc479154810"/>
      <w:r w:rsidRPr="008474BA">
        <w:rPr>
          <w:rFonts w:ascii="Times New Roman" w:hAnsi="Times New Roman" w:cs="Times New Roman"/>
          <w:color w:val="auto"/>
        </w:rPr>
        <w:t>1.3.3 Compostos fenólicos</w:t>
      </w:r>
      <w:bookmarkEnd w:id="17"/>
      <w:bookmarkEnd w:id="18"/>
    </w:p>
    <w:p w14:paraId="3A9977C7" w14:textId="77777777" w:rsidR="003516A7" w:rsidRPr="003516A7" w:rsidRDefault="003516A7" w:rsidP="003516A7"/>
    <w:p w14:paraId="2C94EAE1" w14:textId="69AB1A81" w:rsidR="003516A7" w:rsidRPr="003516A7" w:rsidRDefault="003516A7" w:rsidP="003516A7">
      <w:pPr>
        <w:tabs>
          <w:tab w:val="left" w:pos="5814"/>
        </w:tabs>
        <w:spacing w:after="160" w:line="360" w:lineRule="auto"/>
        <w:ind w:left="0" w:right="0" w:firstLine="0"/>
        <w:rPr>
          <w:szCs w:val="24"/>
        </w:rPr>
      </w:pPr>
      <w:r w:rsidRPr="003516A7">
        <w:rPr>
          <w:szCs w:val="24"/>
        </w:rPr>
        <w:t>Os compostos fenólicos podem ser sintetizados por plantas ou microrganismos, sendo originados pelos ciclos de cadeia linear de acetato ou do chiquimato. Estes são der</w:t>
      </w:r>
      <w:r w:rsidR="00DA0A89">
        <w:rPr>
          <w:szCs w:val="24"/>
        </w:rPr>
        <w:t>ivados do acetil-SCoA e do malon</w:t>
      </w:r>
      <w:r w:rsidRPr="003516A7">
        <w:rPr>
          <w:szCs w:val="24"/>
        </w:rPr>
        <w:t>il-SCoA (</w:t>
      </w:r>
      <w:r w:rsidR="007125BD">
        <w:rPr>
          <w:szCs w:val="24"/>
        </w:rPr>
        <w:t>Anónimo,</w:t>
      </w:r>
      <w:r w:rsidRPr="003516A7">
        <w:rPr>
          <w:szCs w:val="24"/>
        </w:rPr>
        <w:t xml:space="preserve"> 2013).</w:t>
      </w:r>
    </w:p>
    <w:p w14:paraId="68038E8E"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Apresenta nas plantas uma variedade de moléculas, com diversas funções durante o seu crescimento, desenvolvimento e na sua defesa. Incluem moléculas de sinalização, pigmentos e sabor capazes de atrair composto que protejam a planta ou de repelir insetos, fungos, bactérias e vírus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"ISBN" : "978-1-4020-5163-0", "author" : [ { "dropping-particle" : "", "family" : "Vermerris", "given" : "Wilfred", "non-dropping-particle" : "", "parse-names" : false, "suffix" : "" }, { "dropping-particle" : "", "family" : "Nicholson", "given" : "Ralph", "non-dropping-particle" : "", "parse-names" : false, "suffix" : "" } ], "edition" : "2", "id" : "ITEM-1", "issued" : { "date-parts" : [ [ "2007" ] ] }, "publisher" : "Springer Science &amp; Business Media", "publisher-place" : "West Lafayette", "title" : "Phenolic compound biochemistry", "type" : "book" }, "uris" : [ "http://www.mendeley.com/documents/?uuid=88679ef3-4804-4bc3-8fda-d3dee0270da2" ] } ], "mendeley" : { "formattedCitation" : "(Vermerris &amp; Nicholson, 2007)", "plainTextFormattedCitation" : "(Vermerris &amp; Nicholson, 2007)", "previouslyFormattedCitation" : "(Vermerris &amp; Nicholson, 2007)"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(Vermerris &amp; Nicholson, 2007)</w:t>
      </w:r>
      <w:r w:rsidRPr="003516A7">
        <w:rPr>
          <w:rFonts w:eastAsia="Calibri"/>
          <w:color w:val="auto"/>
          <w:szCs w:val="24"/>
          <w:lang w:eastAsia="en-US"/>
        </w:rPr>
        <w:fldChar w:fldCharType="end"/>
      </w:r>
      <w:r w:rsidRPr="003516A7">
        <w:rPr>
          <w:rFonts w:eastAsia="Calibri"/>
          <w:color w:val="auto"/>
          <w:szCs w:val="24"/>
          <w:lang w:eastAsia="en-US"/>
        </w:rPr>
        <w:t>.</w:t>
      </w:r>
    </w:p>
    <w:p w14:paraId="6B80CF1A"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Estes compostos contém um anel aromático com um ou mais grupos hidroxilo, e as suas estruturas podem variar desde um fenólico simples, até um polímero complexo com elevado peso molecular </w:t>
      </w:r>
      <w:r w:rsidRPr="003516A7">
        <w:rPr>
          <w:rFonts w:eastAsia="Calibri"/>
          <w:color w:val="auto"/>
          <w:szCs w:val="24"/>
          <w:lang w:eastAsia="en-US"/>
        </w:rPr>
        <w:fldChar w:fldCharType="begin" w:fldLock="1"/>
      </w:r>
      <w:r w:rsidR="00170389">
        <w:rPr>
          <w:rFonts w:eastAsia="Calibri"/>
          <w:color w:val="auto"/>
          <w:szCs w:val="24"/>
          <w:lang w:eastAsia="en-US"/>
        </w:rPr>
        <w:instrText>ADDIN CSL_CITATION { "citationItems" : [ { "id" : "ITEM-1", "itemData" : { "DOI" : "10.1016/j.foodchem.2005.07.042", "author" : [ { "dropping-particle" : "", "family" : "Balasundram", "given" : "Nagendran", "non-dropping-particle" : "", "parse-names" : false, "suffix" : "" }, { "dropping-particle" : "", "family" : "Sundram", "given" : "Kalyana", "non-dropping-particle" : "", "parse-names" : false, "suffix" : "" }, { "dropping-particle" : "", "family" : "Samman", "given" : "Samir", "non-dropping-particle" : "", "parse-names" : false, "suffix" : "" } ], "container-title" : "Food Chemistry", "id" : "ITEM-1", "issue" : "1", "issued" : { "date-parts" : [ [ "2006" ] ] }, "page" : "191-203", "title" : "Phenolic compounds in plants and agri-industrial by-products: Antioxidant activity, occurrence, and potential uses", "type" : "article-journal", "volume" : "99" }, "uris" : [ "http://www.mendeley.com/documents/?uuid=99fff14d-38ad-4a48-b9d9-cdbe15508511" ] } ], "mendeley" : { "formattedCitation" : "(Balasundram, Sundram, &amp; Samman, 2006)", "manualFormatting" : "(Balasundram et al., 2006)", "plainTextFormattedCitation" : "(Balasundram, Sundram, &amp; Samman, 2006)", "previouslyFormattedCitation" : "(Balasundram, Sundram, &amp; Samman, 2006)" }, "properties" : { "noteIndex" : 0 }, "schema" : "https://github.com/citation-style-language/schema/raw/master/csl-citation.json" }</w:instrText>
      </w:r>
      <w:r w:rsidRPr="003516A7">
        <w:rPr>
          <w:rFonts w:eastAsia="Calibri"/>
          <w:color w:val="auto"/>
          <w:szCs w:val="24"/>
          <w:lang w:eastAsia="en-US"/>
        </w:rPr>
        <w:fldChar w:fldCharType="separate"/>
      </w:r>
      <w:r w:rsidR="00611803">
        <w:rPr>
          <w:rFonts w:eastAsia="Calibri"/>
          <w:noProof/>
          <w:color w:val="auto"/>
          <w:szCs w:val="24"/>
          <w:lang w:eastAsia="en-US"/>
        </w:rPr>
        <w:t>(Balasundram et al.</w:t>
      </w:r>
      <w:r w:rsidRPr="003516A7">
        <w:rPr>
          <w:rFonts w:eastAsia="Calibri"/>
          <w:noProof/>
          <w:color w:val="auto"/>
          <w:szCs w:val="24"/>
          <w:lang w:eastAsia="en-US"/>
        </w:rPr>
        <w:t>, 2006)</w:t>
      </w:r>
      <w:r w:rsidRPr="003516A7">
        <w:rPr>
          <w:rFonts w:eastAsia="Calibri"/>
          <w:color w:val="auto"/>
          <w:szCs w:val="24"/>
          <w:lang w:eastAsia="en-US"/>
        </w:rPr>
        <w:fldChar w:fldCharType="end"/>
      </w:r>
      <w:r w:rsidRPr="003516A7">
        <w:rPr>
          <w:rFonts w:eastAsia="Calibri"/>
          <w:color w:val="auto"/>
          <w:szCs w:val="24"/>
          <w:lang w:eastAsia="en-US"/>
        </w:rPr>
        <w:t>.</w:t>
      </w:r>
    </w:p>
    <w:p w14:paraId="4795F967"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Podem comportar-se com antioxidantes derivado ao seu grupo hidroxilo, que é um bom dador de hidrogénio, que vai conseguir reagir com os ROS e RNS, numa reação de terminação quebrando o ciclo de formação de novos radicais livres. Seguidamente a sua interação </w:t>
      </w:r>
      <w:r w:rsidR="00777EAD">
        <w:rPr>
          <w:rFonts w:eastAsia="Calibri"/>
          <w:color w:val="auto"/>
          <w:szCs w:val="24"/>
          <w:lang w:eastAsia="en-US"/>
        </w:rPr>
        <w:t xml:space="preserve">com </w:t>
      </w:r>
      <w:r w:rsidRPr="003516A7">
        <w:rPr>
          <w:rFonts w:eastAsia="Calibri"/>
          <w:color w:val="auto"/>
          <w:szCs w:val="24"/>
          <w:lang w:eastAsia="en-US"/>
        </w:rPr>
        <w:t xml:space="preserve">estes vão formar um novo radical livre, mas mais estável quimicamente que a inicial. A formação destes novos radicais vai alterar o processo de oxidação </w:t>
      </w:r>
      <w:r w:rsidRPr="003516A7">
        <w:rPr>
          <w:rFonts w:eastAsia="Calibri"/>
          <w:color w:val="auto"/>
          <w:szCs w:val="24"/>
          <w:lang w:eastAsia="en-US"/>
        </w:rPr>
        <w:fldChar w:fldCharType="begin" w:fldLock="1"/>
      </w:r>
      <w:r w:rsidR="00170389">
        <w:rPr>
          <w:rFonts w:eastAsia="Calibri"/>
          <w:color w:val="auto"/>
          <w:szCs w:val="24"/>
          <w:lang w:eastAsia="en-US"/>
        </w:rPr>
        <w:instrText>ADDIN CSL_CITATION { "citationItems" : [ { "id" : "ITEM-1", "itemData" : { "DOI" : "10.3390/molecules14062202", "abstract" : "In recent years, few classes of natural products have received as much attention as phenolics and polyphenols. This special issue of Molecules, \u201cPhenolics and Polyphenolics\u201d, is a remarkable confirmation of this trend. Several aspects related to phenolics chemistry, comprising the several classes, will be discussed. In addition, the increasing interest in phenolics\u2019 biological activities is covered, and several works addressing this matter are referred.", "author" : [ { "dropping-particle" : "", "family" : "Pereira", "given" : "David M", "non-dropping-particle" : "", "parse-names" : false, "suffix" : "" }, { "dropping-particle" : "", "family" : "Valent\u00e3o", "given" : "Patr\u00edcia", "non-dropping-particle" : "", "parse-names" : false, "suffix" : "" }, { "dropping-particle" : "", "family" : "Pereira", "given" : "Jos\u00e9 A", "non-dropping-particle" : "", "parse-names" : false, "suffix" : "" }, { "dropping-particle" : "", "family" : "Andrade", "given" : "Paula B", "non-dropping-particle" : "", "parse-names" : false, "suffix" : "" } ], "container-title" : "Molecules", "id" : "ITEM-1", "issued" : { "date-parts" : [ [ "2009" ] ] }, "page" : "2202-2211", "title" : "Phenolics: From Chemistry to Biology", "type" : "article-journal", "volume" : "14" }, "uris" : [ "http://www.mendeley.com/documents/?uuid=7e875412-40bd-4a61-b4ab-5af089c4a615" ] } ], "mendeley" : { "formattedCitation" : "(Pereira, Valent\u00e3o, Pereira, &amp; Andrade, 2009)", "manualFormatting" : "(Pereira et al., 2009)", "plainTextFormattedCitation" : "(Pereira, Valent\u00e3o, Pereira, &amp; Andrade, 2009)", "previouslyFormattedCitation" : "(Pereira, Valent\u00e3o, Pereira, &amp; Andrade, 2009)"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(Perei</w:t>
      </w:r>
      <w:r w:rsidR="0077420B">
        <w:rPr>
          <w:rFonts w:eastAsia="Calibri"/>
          <w:noProof/>
          <w:color w:val="auto"/>
          <w:szCs w:val="24"/>
          <w:lang w:eastAsia="en-US"/>
        </w:rPr>
        <w:t>ra et al.</w:t>
      </w:r>
      <w:r w:rsidRPr="003516A7">
        <w:rPr>
          <w:rFonts w:eastAsia="Calibri"/>
          <w:noProof/>
          <w:color w:val="auto"/>
          <w:szCs w:val="24"/>
          <w:lang w:eastAsia="en-US"/>
        </w:rPr>
        <w:t>, 2009)</w:t>
      </w:r>
      <w:r w:rsidRPr="003516A7">
        <w:rPr>
          <w:rFonts w:eastAsia="Calibri"/>
          <w:color w:val="auto"/>
          <w:szCs w:val="24"/>
          <w:lang w:eastAsia="en-US"/>
        </w:rPr>
        <w:fldChar w:fldCharType="end"/>
      </w:r>
      <w:r w:rsidRPr="003516A7">
        <w:rPr>
          <w:rFonts w:eastAsia="Calibri"/>
          <w:color w:val="auto"/>
          <w:szCs w:val="24"/>
          <w:lang w:eastAsia="en-US"/>
        </w:rPr>
        <w:t>.</w:t>
      </w:r>
    </w:p>
    <w:p w14:paraId="5F8DC00E"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lastRenderedPageBreak/>
        <w:t>A capacidade antioxidante dos compostos fenólicos está também envolvida em processos de quelar iões metálicos durante a produção de radicais livres, contudo podem acabar por agir como pro-oxidantes por quelantes de metais, acabando por aumentar a atividade</w:t>
      </w:r>
      <w:r>
        <w:rPr>
          <w:rFonts w:eastAsia="Calibri"/>
          <w:color w:val="auto"/>
          <w:szCs w:val="24"/>
          <w:lang w:eastAsia="en-US"/>
        </w:rPr>
        <w:t xml:space="preserve"> </w:t>
      </w:r>
      <w:r w:rsidRPr="003516A7">
        <w:rPr>
          <w:rFonts w:eastAsia="Calibri"/>
          <w:color w:val="auto"/>
          <w:szCs w:val="24"/>
          <w:lang w:eastAsia="en-US"/>
        </w:rPr>
        <w:t xml:space="preserve">catalítica, aumentando assim a capacidade de gerar radicais livres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"10.3390/molecules14062202", "abstract" : "In recent years, few classes of natural products have received as much attention as phenolics and polyphenols. This special issue of Molecules, \u201cPhenolics and Polyphenolics\u201d, is a remarkable confirmation of this trend. Several aspects related to phenolics chemistry, comprising the several classes, will be discussed. In addition, the increasing interest in phenolics\u2019 biological activities is covered, and several works addressing this matter are referred.", "author" : [ { "dropping-particle" : "", "family" : "Pereira", "given" : "David M", "non-dropping-particle" : "", "parse-names" : false, "suffix" : "" }, { "dropping-particle" : "", "family" : "Valent\u00e3o", "given" : "Patr\u00edcia", "non-dropping-particle" : "", "parse-names" : false, "suffix" : "" }, { "dropping-particle" : "", "family" : "Pereira", "given" : "Jos\u00e9 A", "non-dropping-particle" : "", "parse-names" : false, "suffix" : "" }, { "dropping-particle" : "", "family" : "Andrade", "given" : "Paula B", "non-dropping-particle" : "", "parse-names" : false, "suffix" : "" } ], "container-title" : "Molecules", "id" : "ITEM-1", "issued" : { "date-parts" : [ [ "2009" ] ] }, "page" : "2202-2211", "title" : "Phenolics: From Chemistry to Biology", "type" : "article-journal", "volume" : "14" }, "uris" : [ "http://www.mendeley.com/documents/?uuid=7e875412-40bd-4a61-b4ab-5af089c4a615" ] }, { "id" : "ITEM-2", "itemData" : { "author" : [ { "dropping-particle" : "", "family" : "Davy", "given" : "Humphry", "non-dropping-particle" : "", "parse-names" : false, "suffix" : "" } ], "container-title" : "Food ingredients Brasil", "id" : "ITEM-2", "issued" : { "date-parts" : [ [ "2009" ] ] }, "page" : "16-31", "title" : "Os antioxidantes", "type" : "article-magazine", "volume" : "6" }, "uris" : [ "http://www.mendeley.com/documents/?uuid=7b387cba-5452-40e3-9ca9-71b420eedebc" ] } ], "mendeley" : { "formattedCitation" : "(Davy, 2009; Pereira et al., 2009)", "plainTextFormattedCitation" : "(Davy, 2009; Pereira et al., 2009)", "previouslyFormattedCitation" : "(Davy, 2009; Pereira et al., 2009)"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(Davy, 2009; Pereira et al., 2009)</w:t>
      </w:r>
      <w:r w:rsidRPr="003516A7">
        <w:rPr>
          <w:rFonts w:eastAsia="Calibri"/>
          <w:color w:val="auto"/>
          <w:szCs w:val="24"/>
          <w:lang w:eastAsia="en-US"/>
        </w:rPr>
        <w:fldChar w:fldCharType="end"/>
      </w:r>
      <w:r w:rsidRPr="003516A7">
        <w:rPr>
          <w:rFonts w:eastAsia="Calibri"/>
          <w:color w:val="auto"/>
          <w:szCs w:val="24"/>
          <w:lang w:eastAsia="en-US"/>
        </w:rPr>
        <w:t>.</w:t>
      </w:r>
    </w:p>
    <w:p w14:paraId="5C0DB88B"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rFonts w:eastAsia="Calibri"/>
          <w:color w:val="auto"/>
          <w:szCs w:val="24"/>
          <w:lang w:eastAsia="en-US"/>
        </w:rPr>
        <w:t xml:space="preserve">A sua atividade antioxidante é consoante a sua estrutura nomeadamente através do número e das posições dos grupos hidroxilo, e da natureza das substituições dos anéis aromáticos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"10.1016/j.foodchem.2005.07.042", "author" : [ { "dropping-particle" : "", "family" : "Balasundram", "given" : "Nagendran", "non-dropping-particle" : "", "parse-names" : false, "suffix" : "" }, { "dropping-particle" : "", "family" : "Sundram", "given" : "Kalyana", "non-dropping-particle" : "", "parse-names" : false, "suffix" : "" }, { "dropping-particle" : "", "family" : "Samman", "given" : "Samir", "non-dropping-particle" : "", "parse-names" : false, "suffix" : "" } ], "container-title" : "Food Chemistry", "id" : "ITEM-1", "issue" : "1", "issued" : { "date-parts" : [ [ "2006" ] ] }, "page" : "191-203", "title" : "Phenolic compounds in plants and agri-industrial by-products: Antioxidant activity, occurrence, and potential uses", "type" : "article-journal", "volume" : "99" }, "uris" : [ "http://www.mendeley.com/documents/?uuid=99fff14d-38ad-4a48-b9d9-cdbe15508511" ] } ], "mendeley" : { "formattedCitation" : "(Balasundram et al., 2006)", "plainTextFormattedCitation" : "(Balasundram et al., 2006)", "previouslyFormattedCitation" : "(Balasundram et al., 2006)"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(Balasundram et al., 2006)</w:t>
      </w:r>
      <w:r w:rsidRPr="003516A7">
        <w:rPr>
          <w:rFonts w:eastAsia="Calibri"/>
          <w:color w:val="auto"/>
          <w:szCs w:val="24"/>
          <w:lang w:eastAsia="en-US"/>
        </w:rPr>
        <w:fldChar w:fldCharType="end"/>
      </w:r>
      <w:r w:rsidRPr="003516A7">
        <w:rPr>
          <w:rFonts w:eastAsia="Calibri"/>
          <w:color w:val="auto"/>
          <w:szCs w:val="24"/>
          <w:lang w:eastAsia="en-US"/>
        </w:rPr>
        <w:t>.</w:t>
      </w:r>
    </w:p>
    <w:p w14:paraId="156D9613" w14:textId="1CFAE011" w:rsidR="003516A7" w:rsidRPr="003516A7" w:rsidRDefault="003516A7" w:rsidP="003516A7">
      <w:pPr>
        <w:spacing w:after="160" w:line="360" w:lineRule="auto"/>
        <w:ind w:left="0" w:right="0" w:firstLine="0"/>
        <w:rPr>
          <w:color w:val="auto"/>
          <w:szCs w:val="24"/>
          <w:lang w:eastAsia="pt-BR"/>
        </w:rPr>
      </w:pPr>
      <w:r w:rsidRPr="003516A7">
        <w:rPr>
          <w:rFonts w:eastAsia="Calibri"/>
          <w:color w:val="auto"/>
          <w:szCs w:val="24"/>
          <w:lang w:eastAsia="en-US"/>
        </w:rPr>
        <w:t>Este tipo de compostos pode ser encontrado na nossa d</w:t>
      </w:r>
      <w:r w:rsidR="00DA0A89">
        <w:rPr>
          <w:rFonts w:eastAsia="Calibri"/>
          <w:color w:val="auto"/>
          <w:szCs w:val="24"/>
          <w:lang w:eastAsia="en-US"/>
        </w:rPr>
        <w:t>ieta através de fontes naturais como frutas, legumes e bebidas, nos compostos</w:t>
      </w:r>
      <w:r w:rsidRPr="003516A7">
        <w:rPr>
          <w:rFonts w:eastAsia="Calibri"/>
          <w:color w:val="auto"/>
          <w:szCs w:val="24"/>
          <w:lang w:eastAsia="en-US"/>
        </w:rPr>
        <w:t xml:space="preserve"> ácidos fenólicos, flavonoides, carotenoides, tocoferóis ou podemos encontra</w:t>
      </w:r>
      <w:r w:rsidR="008D5735">
        <w:rPr>
          <w:rFonts w:eastAsia="Calibri"/>
          <w:color w:val="auto"/>
          <w:szCs w:val="24"/>
          <w:lang w:eastAsia="en-US"/>
        </w:rPr>
        <w:t>r</w:t>
      </w:r>
      <w:r w:rsidRPr="003516A7">
        <w:rPr>
          <w:rFonts w:eastAsia="Calibri"/>
          <w:color w:val="auto"/>
          <w:szCs w:val="24"/>
          <w:lang w:eastAsia="en-US"/>
        </w:rPr>
        <w:t xml:space="preserve"> sint</w:t>
      </w:r>
      <w:r w:rsidR="008D5735">
        <w:rPr>
          <w:rFonts w:eastAsia="Calibri"/>
          <w:color w:val="auto"/>
          <w:szCs w:val="24"/>
          <w:lang w:eastAsia="en-US"/>
        </w:rPr>
        <w:t>é</w:t>
      </w:r>
      <w:r w:rsidRPr="003516A7">
        <w:rPr>
          <w:rFonts w:eastAsia="Calibri"/>
          <w:color w:val="auto"/>
          <w:szCs w:val="24"/>
          <w:lang w:eastAsia="en-US"/>
        </w:rPr>
        <w:t>tic</w:t>
      </w:r>
      <w:r w:rsidR="008D5735">
        <w:rPr>
          <w:rFonts w:eastAsia="Calibri"/>
          <w:color w:val="auto"/>
          <w:szCs w:val="24"/>
          <w:lang w:eastAsia="en-US"/>
        </w:rPr>
        <w:t>os</w:t>
      </w:r>
      <w:r w:rsidRPr="003516A7">
        <w:rPr>
          <w:rFonts w:eastAsia="Calibri"/>
          <w:color w:val="auto"/>
          <w:szCs w:val="24"/>
          <w:lang w:eastAsia="en-US"/>
        </w:rPr>
        <w:t xml:space="preserve"> como ácido nordihidroguaiarético (NDGA), trihidroxibutirofenona (THBP) e ρ-</w:t>
      </w:r>
      <w:r w:rsidRPr="003516A7">
        <w:rPr>
          <w:color w:val="auto"/>
          <w:szCs w:val="24"/>
          <w:lang w:eastAsia="pt-BR"/>
        </w:rPr>
        <w:t xml:space="preserve">hexilresorcinol (4-HB), que já se encontram no mercado </w:t>
      </w:r>
      <w:r w:rsidR="00D87BF3" w:rsidRPr="003516A7">
        <w:rPr>
          <w:color w:val="auto"/>
          <w:szCs w:val="24"/>
          <w:lang w:eastAsia="pt-BR"/>
        </w:rPr>
        <w:t>há</w:t>
      </w:r>
      <w:r w:rsidRPr="003516A7">
        <w:rPr>
          <w:color w:val="auto"/>
          <w:szCs w:val="24"/>
          <w:lang w:eastAsia="pt-BR"/>
        </w:rPr>
        <w:t xml:space="preserve"> mais de 50 anos </w:t>
      </w:r>
      <w:r w:rsidRPr="003516A7">
        <w:rPr>
          <w:color w:val="auto"/>
          <w:szCs w:val="24"/>
          <w:lang w:eastAsia="pt-BR"/>
        </w:rPr>
        <w:fldChar w:fldCharType="begin" w:fldLock="1"/>
      </w:r>
      <w:r w:rsidR="00170389">
        <w:rPr>
          <w:color w:val="auto"/>
          <w:szCs w:val="24"/>
          <w:lang w:eastAsia="pt-BR"/>
        </w:rPr>
        <w:instrText>ADDIN CSL_CITATION { "citationItems" : [ { "id" : "ITEM-1", "itemData" : { "DOI" : "10.1111/j.1541-4337.2011.00156.x", "author" : [ { "dropping-particle" : "", "family" : "Brewer", "given" : "M S", "non-dropping-particle" : "", "parse-names" : false, "suffix" : "" } ], "container-title" : "Food Science and Food Safety", "id" : "ITEM-1", "issued" : { "date-parts" : [ [ "2011" ] ] }, "page" : "221-248", "title" : "Natural Antioxidants : Sources , Compounds , Mechanisms of Action , and Potential Applications", "type" : "article-journal", "volume" : "10" }, "uris" : [ "http://www.mendeley.com/documents/?uuid=fe8f9436-7ba8-4658-8083-10e6b4a10ad5" ] }, { "id" : "ITEM-2", "itemData" : { "DOI" : "10.1016/j.foodchem.2005.07.042", "author" : [ { "dropping-particle" : "", "family" : "Balasundram", "given" : "Nagendran", "non-dropping-particle" : "", "parse-names" : false, "suffix" : "" }, { "dropping-particle" : "", "family" : "Sundram", "given" : "Kalyana", "non-dropping-particle" : "", "parse-names" : false, "suffix" : "" }, { "dropping-particle" : "", "family" : "Samman", "given" : "Samir", "non-dropping-particle" : "", "parse-names" : false, "suffix" : "" } ], "container-title" : "Food Chemistry", "id" : "ITEM-2", "issue" : "1", "issued" : { "date-parts" : [ [ "2006" ] ] }, "page" : "191-203", "title" : "Phenolic compounds in plants and agri-industrial by-products: Antioxidant activity, occurrence, and potential uses", "type" : "article-journal", "volume" : "99" }, "uris" : [ "http://www.mendeley.com/documents/?uuid=99fff14d-38ad-4a48-b9d9-cdbe15508511" ] }, { "id" : "ITEM-3", "itemData" : { "ISBN" : "978-1-78242-089-7", "author" : [ { "dropping-particle" : "", "family" : "Makahlel", "given" : "A.", "non-dropping-particle" : "", "parse-names" : false, "suffix" : "" }, { "dropping-particle" : "", "family" : "Saad", "given" : "B.", "non-dropping-particle" : "", "parse-names" : false, "suffix" : "" }, { "dropping-particle" : "", "family" : "Bari", "given" : "M.F.", "non-dropping-particle" : "", "parse-names" : false, "suffix" : "" } ], "chapter-number" : "3", "container-title" : "Handbook of Antioxidants for Food Preservation", "editor" : [ { "dropping-particle" : "", "family" : "Shahidi", "given" : "Fereidoon", "non-dropping-particle" : "", "parse-names" : false, "suffix" : "" } ], "id" : "ITEM-3", "issued" : { "date-parts" : [ [ "2015" ] ] }, "page" : "51-75", "publisher" : "WoodHead", "publisher-place" : "Cambridge", "title" : "Synthetic phenolic as antioxidants for food preservation", "type" : "chapter" }, "uris" : [ "http://www.mendeley.com/documents/?uuid=81aa043a-96e9-4a4c-aaa6-c2c8597e3c56" ] } ], "mendeley" : { "formattedCitation" : "(Balasundram et al., 2006; Brewer, 2011; Makahlel, Saad, &amp; Bari, 2015)", "manualFormatting" : "(Balasundram et al., 2006; Brewer, 2011; Makahlel et al., 2015)", "plainTextFormattedCitation" : "(Balasundram et al., 2006; Brewer, 2011; Makahlel, Saad, &amp; Bari, 2015)", "previouslyFormattedCitation" : "(Balasundram et al., 2006; Brewer, 2011; Makahlel, Saad, &amp; Bari, 2015)"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(Balasundram et al., 2006; Brew</w:t>
      </w:r>
      <w:r w:rsidR="0077420B">
        <w:rPr>
          <w:noProof/>
          <w:color w:val="auto"/>
          <w:szCs w:val="24"/>
          <w:lang w:eastAsia="pt-BR"/>
        </w:rPr>
        <w:t>er, 2011; Makahlel et al.</w:t>
      </w:r>
      <w:r w:rsidRPr="003516A7">
        <w:rPr>
          <w:noProof/>
          <w:color w:val="auto"/>
          <w:szCs w:val="24"/>
          <w:lang w:eastAsia="pt-BR"/>
        </w:rPr>
        <w:t>, 2015)</w:t>
      </w:r>
      <w:r w:rsidRPr="003516A7">
        <w:rPr>
          <w:color w:val="auto"/>
          <w:szCs w:val="24"/>
          <w:lang w:eastAsia="pt-BR"/>
        </w:rPr>
        <w:fldChar w:fldCharType="end"/>
      </w:r>
      <w:r w:rsidRPr="003516A7">
        <w:rPr>
          <w:color w:val="auto"/>
          <w:szCs w:val="24"/>
          <w:lang w:eastAsia="pt-BR"/>
        </w:rPr>
        <w:t>.</w:t>
      </w:r>
    </w:p>
    <w:p w14:paraId="282307C2" w14:textId="101E333D" w:rsidR="003516A7" w:rsidRPr="003516A7" w:rsidRDefault="003516A7" w:rsidP="003516A7">
      <w:pPr>
        <w:spacing w:after="160" w:line="360" w:lineRule="auto"/>
        <w:ind w:left="0" w:right="0" w:firstLine="0"/>
        <w:rPr>
          <w:color w:val="auto"/>
          <w:szCs w:val="24"/>
          <w:lang w:eastAsia="pt-BR"/>
        </w:rPr>
      </w:pPr>
      <w:r w:rsidRPr="003516A7">
        <w:rPr>
          <w:color w:val="auto"/>
          <w:szCs w:val="24"/>
          <w:lang w:eastAsia="pt-BR"/>
        </w:rPr>
        <w:t xml:space="preserve">O fenol é o membro mais simples desta classe de compostos, que antigamente era utilizado como asséptico nas cirurgias, no entanto foi substituído por outros sintéticos para não causarem queimaduras severas no paciente. Apesar disso, os seus derivados mantém a sua atividade asséptica, desinfetante e anestésico sendo utilizado na indústria para fabrico de produtos comerciais como, sabão, desodorizante, cremes para dores musculares, desinfetantes, entre outros </w:t>
      </w:r>
      <w:r w:rsidRPr="003516A7">
        <w:rPr>
          <w:color w:val="auto"/>
          <w:szCs w:val="24"/>
          <w:lang w:eastAsia="pt-BR"/>
        </w:rPr>
        <w:fldChar w:fldCharType="begin" w:fldLock="1"/>
      </w:r>
      <w:r w:rsidR="007B34A4">
        <w:rPr>
          <w:color w:val="auto"/>
          <w:szCs w:val="24"/>
          <w:lang w:eastAsia="pt-BR"/>
        </w:rPr>
        <w:instrText>ADDIN CSL_CITATION { "citationItems" : [ { "id" : "ITEM-1", "itemData" : { "URL" : "http://www.portaleducacao.com.br/farmacia/artigos/46128/o-que-sao-compostos-fenolicos", "accessed" : { "date-parts" : [ [ "2016", "3", "14" ] ] }, "author" : [ { "dropping-particle" : "", "family" : "An\u00f3nimo", "given" : "", "non-dropping-particle" : "", "parse-names" : false, "suffix" : "" } ], "container-title" : "Portal da Educa\u00e7\u00e3o", "id" : "ITEM-1", "issued" : { "date-parts" : [ [ "2013" ] ] }, "title" : "O que s\u00e3o compostos fen\u00f3licos?", "type" : "webpage" }, "uris" : [ "http://www.mendeley.com/documents/?uuid=40ea9f6b-4acc-4c58-a3d0-d9c4287b4e08" ] } ], "mendeley" : { "formattedCitation" : "(An\u00f3nimo, 2013b)", "plainTextFormattedCitation" : "(An\u00f3nimo, 2013b)", "previouslyFormattedCitation" : "(An\u00f3nimo, 2013b)" }, "properties" : { "noteIndex" : 0 }, "schema" : "https://github.com/citation-style-language/schema/raw/master/csl-citation.json" }</w:instrText>
      </w:r>
      <w:r w:rsidRPr="003516A7">
        <w:rPr>
          <w:color w:val="auto"/>
          <w:szCs w:val="24"/>
          <w:lang w:eastAsia="pt-BR"/>
        </w:rPr>
        <w:fldChar w:fldCharType="separate"/>
      </w:r>
      <w:r w:rsidR="007B34A4" w:rsidRPr="007B34A4">
        <w:rPr>
          <w:noProof/>
          <w:color w:val="auto"/>
          <w:szCs w:val="24"/>
          <w:lang w:eastAsia="pt-BR"/>
        </w:rPr>
        <w:t>(Anónimo, 2013b)</w:t>
      </w:r>
      <w:r w:rsidRPr="003516A7">
        <w:rPr>
          <w:color w:val="auto"/>
          <w:szCs w:val="24"/>
          <w:lang w:eastAsia="pt-BR"/>
        </w:rPr>
        <w:fldChar w:fldCharType="end"/>
      </w:r>
      <w:r w:rsidRPr="003516A7">
        <w:rPr>
          <w:color w:val="auto"/>
          <w:szCs w:val="24"/>
          <w:lang w:eastAsia="pt-BR"/>
        </w:rPr>
        <w:t>.</w:t>
      </w:r>
    </w:p>
    <w:p w14:paraId="62ED616F" w14:textId="14348637" w:rsidR="003516A7" w:rsidRPr="003516A7" w:rsidRDefault="003516A7" w:rsidP="003516A7">
      <w:pPr>
        <w:spacing w:after="160" w:line="360" w:lineRule="auto"/>
        <w:ind w:left="0" w:right="0" w:firstLine="0"/>
        <w:rPr>
          <w:color w:val="auto"/>
          <w:szCs w:val="24"/>
          <w:lang w:eastAsia="pt-BR"/>
        </w:rPr>
      </w:pPr>
      <w:r w:rsidRPr="003516A7">
        <w:rPr>
          <w:color w:val="auto"/>
          <w:szCs w:val="24"/>
          <w:lang w:eastAsia="pt-BR"/>
        </w:rPr>
        <w:t xml:space="preserve">No caso da espécie do </w:t>
      </w:r>
      <w:r w:rsidRPr="003516A7">
        <w:rPr>
          <w:i/>
          <w:color w:val="auto"/>
          <w:szCs w:val="24"/>
          <w:lang w:eastAsia="pt-BR"/>
        </w:rPr>
        <w:t>Opuntia ficus indica</w:t>
      </w:r>
      <w:r w:rsidRPr="003516A7">
        <w:rPr>
          <w:color w:val="auto"/>
          <w:szCs w:val="24"/>
          <w:lang w:eastAsia="pt-BR"/>
        </w:rPr>
        <w:t xml:space="preserve"> podem ser obtidos </w:t>
      </w:r>
      <w:proofErr w:type="gramStart"/>
      <w:r w:rsidRPr="003516A7">
        <w:rPr>
          <w:color w:val="auto"/>
          <w:szCs w:val="24"/>
          <w:lang w:eastAsia="pt-BR"/>
        </w:rPr>
        <w:t>valores</w:t>
      </w:r>
      <w:r w:rsidR="00DA0A89">
        <w:rPr>
          <w:color w:val="auto"/>
          <w:szCs w:val="24"/>
          <w:lang w:eastAsia="pt-BR"/>
        </w:rPr>
        <w:t xml:space="preserve"> </w:t>
      </w:r>
      <w:r w:rsidRPr="003516A7">
        <w:rPr>
          <w:color w:val="auto"/>
          <w:szCs w:val="24"/>
          <w:lang w:eastAsia="pt-BR"/>
        </w:rPr>
        <w:t xml:space="preserve"> de</w:t>
      </w:r>
      <w:proofErr w:type="gramEnd"/>
      <w:r w:rsidRPr="003516A7">
        <w:rPr>
          <w:color w:val="auto"/>
          <w:szCs w:val="24"/>
          <w:lang w:eastAsia="pt-BR"/>
        </w:rPr>
        <w:t xml:space="preserve"> cerca de 45.2 mg</w:t>
      </w:r>
      <w:r w:rsidR="00DA0A89">
        <w:rPr>
          <w:color w:val="auto"/>
          <w:szCs w:val="24"/>
          <w:lang w:eastAsia="pt-BR"/>
        </w:rPr>
        <w:t xml:space="preserve"> de fenóis</w:t>
      </w:r>
      <w:r w:rsidR="008D5735">
        <w:rPr>
          <w:color w:val="auto"/>
          <w:szCs w:val="24"/>
          <w:lang w:eastAsia="pt-BR"/>
        </w:rPr>
        <w:t xml:space="preserve"> </w:t>
      </w:r>
      <w:r w:rsidRPr="003516A7">
        <w:rPr>
          <w:color w:val="auto"/>
          <w:szCs w:val="24"/>
          <w:lang w:eastAsia="pt-BR"/>
        </w:rPr>
        <w:t>/100</w:t>
      </w:r>
      <w:r w:rsidR="008D5735">
        <w:rPr>
          <w:color w:val="auto"/>
          <w:szCs w:val="24"/>
          <w:lang w:eastAsia="pt-BR"/>
        </w:rPr>
        <w:t xml:space="preserve"> </w:t>
      </w:r>
      <w:r w:rsidRPr="003516A7">
        <w:rPr>
          <w:color w:val="auto"/>
          <w:szCs w:val="24"/>
          <w:lang w:eastAsia="pt-BR"/>
        </w:rPr>
        <w:t xml:space="preserve">g </w:t>
      </w:r>
      <w:r w:rsidRPr="003516A7">
        <w:rPr>
          <w:color w:val="auto"/>
          <w:szCs w:val="24"/>
          <w:lang w:eastAsia="pt-BR"/>
        </w:rPr>
        <w:fldChar w:fldCharType="begin" w:fldLock="1"/>
      </w:r>
      <w:r w:rsidRPr="003516A7">
        <w:rPr>
          <w:color w:val="auto"/>
          <w:szCs w:val="24"/>
          <w:lang w:eastAsia="pt-BR"/>
        </w:rPr>
        <w:instrText>ADDIN CSL_CITATION { "citationItems" : [ { "id" : "ITEM-1",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"ITEM-1", "issued" : { "date-parts" : [ [ "2007" ] ] }, "page" : "38-45", "title" : "Chemical characterization of Opuntia dillenii and Opuntia ficus indica fruits", "type" : "article-journal", "volume" : "103" }, "uris" : [ "http://www.mendeley.com/documents/?uuid=76f175b1-c4eb-4f47-859a-ba2cc4bf2692" ] } ], "mendeley" : { "formattedCitation" : "(Medina et al., 2007)", "plainTextFormattedCitation" : "(Medina et al., 2007)", "previouslyFormattedCitation" : "(Medina et al., 2007)"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(Medina et al., 2007)</w:t>
      </w:r>
      <w:r w:rsidRPr="003516A7">
        <w:rPr>
          <w:color w:val="auto"/>
          <w:szCs w:val="24"/>
          <w:lang w:eastAsia="pt-BR"/>
        </w:rPr>
        <w:fldChar w:fldCharType="end"/>
      </w:r>
      <w:r w:rsidRPr="003516A7">
        <w:rPr>
          <w:color w:val="auto"/>
          <w:szCs w:val="24"/>
          <w:lang w:eastAsia="pt-BR"/>
        </w:rPr>
        <w:t>.</w:t>
      </w:r>
    </w:p>
    <w:p w14:paraId="47BFD5DC" w14:textId="77777777" w:rsidR="00F23D90" w:rsidRDefault="00F23D90" w:rsidP="003516A7">
      <w:pPr>
        <w:spacing w:after="160" w:line="360" w:lineRule="auto"/>
        <w:ind w:left="0" w:right="0" w:firstLine="0"/>
      </w:pPr>
    </w:p>
    <w:p w14:paraId="257C4066" w14:textId="53C9D0D6" w:rsidR="003516A7" w:rsidRDefault="003516A7" w:rsidP="008474BA">
      <w:pPr>
        <w:pStyle w:val="Cabealho4"/>
        <w:rPr>
          <w:rFonts w:ascii="Times New Roman" w:hAnsi="Times New Roman" w:cs="Times New Roman"/>
          <w:i w:val="0"/>
          <w:color w:val="auto"/>
        </w:rPr>
      </w:pPr>
      <w:bookmarkStart w:id="19" w:name="_Toc479154811"/>
      <w:r w:rsidRPr="008474BA">
        <w:rPr>
          <w:rFonts w:ascii="Times New Roman" w:hAnsi="Times New Roman" w:cs="Times New Roman"/>
          <w:i w:val="0"/>
          <w:color w:val="auto"/>
        </w:rPr>
        <w:t>1.3.3.1 Polifenóis</w:t>
      </w:r>
      <w:bookmarkEnd w:id="19"/>
    </w:p>
    <w:p w14:paraId="005D8B65" w14:textId="77777777" w:rsidR="00DA0A89" w:rsidRPr="00DA0A89" w:rsidRDefault="00DA0A89" w:rsidP="00DA0A89"/>
    <w:p w14:paraId="0A5EA715" w14:textId="2BB1015B" w:rsidR="003516A7" w:rsidRPr="00DA0A89" w:rsidRDefault="00DA0A89" w:rsidP="00DA0A89">
      <w:r>
        <w:t xml:space="preserve">Na natureza, os polifenóis constituem a maior classe de metabólitos secundários </w:t>
      </w:r>
      <w:r w:rsidR="003516A7" w:rsidRPr="003516A7">
        <w:rPr>
          <w:color w:val="auto"/>
          <w:szCs w:val="24"/>
          <w:lang w:eastAsia="pt-BR"/>
        </w:rPr>
        <w:fldChar w:fldCharType="begin" w:fldLock="1"/>
      </w:r>
      <w:r w:rsidR="003516A7" w:rsidRPr="003516A7">
        <w:rPr>
          <w:color w:val="auto"/>
          <w:szCs w:val="24"/>
          <w:lang w:eastAsia="pt-BR"/>
        </w:rPr>
        <w:instrText>ADDIN CSL_CITATION { "citationItems" : [ { "id" : "ITEM-1", "itemData" : { "ISBN" : "978-1-4020-5163-0", "author" : [ { "dropping-particle" : "", "family" : "Vermerris", "given" : "Wilfred", "non-dropping-particle" : "", "parse-names" : false, "suffix" : "" }, { "dropping-particle" : "", "family" : "Nicholson", "given" : "Ralph", "non-dropping-particle" : "", "parse-names" : false, "suffix" : "" } ], "edition" : "2", "id" : "ITEM-1", "issued" : { "date-parts" : [ [ "2007" ] ] }, "publisher" : "Springer Science &amp; Business Media", "publisher-place" : "West Lafayette", "title" : "Phenolic compound biochemistry", "type" : "book" }, "uris" : [ "http://www.mendeley.com/documents/?uuid=88679ef3-4804-4bc3-8fda-d3dee0270da2" ] } ], "mendeley" : { "formattedCitation" : "(Vermerris &amp; Nicholson, 2007)", "plainTextFormattedCitation" : "(Vermerris &amp; Nicholson, 2007)", "previouslyFormattedCitation" : "(Vermerris &amp; Nicholson, 2007)" }, "properties" : { "noteIndex" : 0 }, "schema" : "https://github.com/citation-style-language/schema/raw/master/csl-citation.json" }</w:instrText>
      </w:r>
      <w:r w:rsidR="003516A7" w:rsidRPr="003516A7">
        <w:rPr>
          <w:color w:val="auto"/>
          <w:szCs w:val="24"/>
          <w:lang w:eastAsia="pt-BR"/>
        </w:rPr>
        <w:fldChar w:fldCharType="separate"/>
      </w:r>
      <w:r w:rsidR="003516A7" w:rsidRPr="003516A7">
        <w:rPr>
          <w:noProof/>
          <w:color w:val="auto"/>
          <w:szCs w:val="24"/>
          <w:lang w:eastAsia="pt-BR"/>
        </w:rPr>
        <w:t>(Vermerris &amp; Nicholson, 2007)</w:t>
      </w:r>
      <w:r w:rsidR="003516A7" w:rsidRPr="003516A7">
        <w:rPr>
          <w:color w:val="auto"/>
          <w:szCs w:val="24"/>
          <w:lang w:eastAsia="pt-BR"/>
        </w:rPr>
        <w:fldChar w:fldCharType="end"/>
      </w:r>
      <w:r w:rsidR="003516A7" w:rsidRPr="003516A7">
        <w:rPr>
          <w:color w:val="auto"/>
          <w:szCs w:val="24"/>
          <w:lang w:eastAsia="pt-BR"/>
        </w:rPr>
        <w:t xml:space="preserve">. Logo tem vários micronutrientes envolvidos na nossa alimentação, sendo importantes para prevenção de doenças degenerativas (cancro, cardiovasculares etc.). Obviamente que a sua </w:t>
      </w:r>
      <w:r w:rsidR="003516A7" w:rsidRPr="003516A7">
        <w:rPr>
          <w:color w:val="auto"/>
          <w:szCs w:val="24"/>
          <w:lang w:eastAsia="pt-BR"/>
        </w:rPr>
        <w:lastRenderedPageBreak/>
        <w:t>contribuição na saúde humana depende inteiramente da quantidade consumida e a sua biodiversidade.</w:t>
      </w:r>
    </w:p>
    <w:p w14:paraId="42DBB894" w14:textId="77777777" w:rsidR="0077420B" w:rsidRDefault="0077420B" w:rsidP="003516A7">
      <w:pPr>
        <w:spacing w:after="160" w:line="360" w:lineRule="auto"/>
        <w:ind w:left="0" w:right="0" w:firstLine="0"/>
      </w:pPr>
    </w:p>
    <w:p w14:paraId="0244E959" w14:textId="77777777" w:rsidR="003516A7" w:rsidRPr="008474BA" w:rsidRDefault="003516A7" w:rsidP="008474BA">
      <w:pPr>
        <w:pStyle w:val="Cabealho4"/>
        <w:rPr>
          <w:rFonts w:ascii="Times New Roman" w:hAnsi="Times New Roman" w:cs="Times New Roman"/>
          <w:i w:val="0"/>
          <w:color w:val="auto"/>
        </w:rPr>
      </w:pPr>
      <w:bookmarkStart w:id="20" w:name="_Toc479154812"/>
      <w:r w:rsidRPr="008474BA">
        <w:rPr>
          <w:rFonts w:ascii="Times New Roman" w:hAnsi="Times New Roman" w:cs="Times New Roman"/>
          <w:i w:val="0"/>
          <w:color w:val="auto"/>
        </w:rPr>
        <w:t>1.3.3.2 Ácidos fenólicos</w:t>
      </w:r>
      <w:bookmarkEnd w:id="20"/>
    </w:p>
    <w:p w14:paraId="28B8BE2B" w14:textId="77777777" w:rsidR="003516A7" w:rsidRPr="003516A7" w:rsidRDefault="003516A7" w:rsidP="003516A7"/>
    <w:p w14:paraId="5264525C" w14:textId="03ED85BF" w:rsidR="003516A7" w:rsidRPr="003516A7" w:rsidRDefault="003516A7" w:rsidP="003516A7">
      <w:pPr>
        <w:spacing w:after="160" w:line="360" w:lineRule="auto"/>
        <w:ind w:left="0" w:right="0" w:firstLine="0"/>
        <w:rPr>
          <w:color w:val="auto"/>
          <w:szCs w:val="24"/>
          <w:lang w:eastAsia="pt-BR"/>
        </w:rPr>
      </w:pPr>
      <w:r w:rsidRPr="003516A7">
        <w:rPr>
          <w:color w:val="auto"/>
          <w:szCs w:val="24"/>
          <w:lang w:eastAsia="pt-BR"/>
        </w:rPr>
        <w:t xml:space="preserve">Os ácidos fenólicos são metabólitos secundários presentes em quase todo o reino vegetal </w:t>
      </w:r>
      <w:r w:rsidRPr="003516A7">
        <w:rPr>
          <w:color w:val="auto"/>
          <w:szCs w:val="24"/>
          <w:lang w:eastAsia="pt-BR"/>
        </w:rPr>
        <w:fldChar w:fldCharType="begin" w:fldLock="1"/>
      </w:r>
      <w:r w:rsidRPr="003516A7">
        <w:rPr>
          <w:color w:val="auto"/>
          <w:szCs w:val="24"/>
          <w:lang w:eastAsia="pt-BR"/>
        </w:rPr>
        <w:instrText>ADDIN CSL_CITATION { "citationItems" : [ { "id" : "ITEM-1", "itemData" : { "DOI" : "10.1021/jf026182t", "author" : [ { "dropping-particle" : "", "family" : "Robbins", "given" : "Rebecca J.", "non-dropping-particle" : "", "parse-names" : false, "suffix" : "" } ], "container-title" : "Journal of Agricultural and Food Chemistry", "id" : "ITEM-1", "issue" : "10", "issued" : { "date-parts" : [ [ "2003" ] ] }, "page" : "2866\u20132887", "title" : "Phenolic Acids in Foods: An Overview of Analytical Methodology", "type" : "article-journal", "volume" : "51" }, "uris" : [ "http://www.mendeley.com/documents/?uuid=0610efb8-12e5-46eb-8b2c-0c5b90a72726" ] } ], "mendeley" : { "formattedCitation" : "(Robbins, 2003)", "plainTextFormattedCitation" : "(Robbins, 2003)", "previouslyFormattedCitation" : "(Robbins, 2003)"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(Robbins, 2003)</w:t>
      </w:r>
      <w:r w:rsidRPr="003516A7">
        <w:rPr>
          <w:color w:val="auto"/>
          <w:szCs w:val="24"/>
          <w:lang w:eastAsia="pt-BR"/>
        </w:rPr>
        <w:fldChar w:fldCharType="end"/>
      </w:r>
      <w:r w:rsidRPr="003516A7">
        <w:rPr>
          <w:color w:val="auto"/>
          <w:szCs w:val="24"/>
          <w:lang w:eastAsia="pt-BR"/>
        </w:rPr>
        <w:t>. Estes caracterizam-se pelo seu anel aromático, grupo carboxílico e um ou mais grupo de hidroxilo na molécula, que lhes confere</w:t>
      </w:r>
      <w:r w:rsidR="00D87BF3">
        <w:rPr>
          <w:color w:val="auto"/>
          <w:szCs w:val="24"/>
          <w:lang w:eastAsia="pt-BR"/>
        </w:rPr>
        <w:t>m</w:t>
      </w:r>
      <w:r w:rsidRPr="003516A7">
        <w:rPr>
          <w:color w:val="auto"/>
          <w:szCs w:val="24"/>
          <w:lang w:eastAsia="pt-BR"/>
        </w:rPr>
        <w:t xml:space="preserve"> </w:t>
      </w:r>
      <w:proofErr w:type="gramStart"/>
      <w:r w:rsidRPr="003516A7">
        <w:rPr>
          <w:color w:val="auto"/>
          <w:szCs w:val="24"/>
          <w:lang w:eastAsia="pt-BR"/>
        </w:rPr>
        <w:t>propriedades</w:t>
      </w:r>
      <w:proofErr w:type="gramEnd"/>
      <w:r w:rsidRPr="003516A7">
        <w:rPr>
          <w:color w:val="auto"/>
          <w:szCs w:val="24"/>
          <w:lang w:eastAsia="pt-BR"/>
        </w:rPr>
        <w:t xml:space="preserve"> </w:t>
      </w:r>
      <w:proofErr w:type="gramStart"/>
      <w:r w:rsidRPr="003516A7">
        <w:rPr>
          <w:color w:val="auto"/>
          <w:szCs w:val="24"/>
          <w:lang w:eastAsia="pt-BR"/>
        </w:rPr>
        <w:t>antioxidantes</w:t>
      </w:r>
      <w:proofErr w:type="gramEnd"/>
      <w:r w:rsidRPr="003516A7">
        <w:rPr>
          <w:color w:val="auto"/>
          <w:szCs w:val="24"/>
          <w:lang w:eastAsia="pt-BR"/>
        </w:rPr>
        <w:t xml:space="preserve"> </w:t>
      </w:r>
      <w:r w:rsidRPr="003516A7">
        <w:rPr>
          <w:color w:val="auto"/>
          <w:szCs w:val="24"/>
          <w:lang w:eastAsia="pt-BR"/>
        </w:rPr>
        <w:fldChar w:fldCharType="begin" w:fldLock="1"/>
      </w:r>
      <w:r w:rsidRPr="003516A7">
        <w:rPr>
          <w:color w:val="auto"/>
          <w:szCs w:val="24"/>
          <w:lang w:eastAsia="pt-BR"/>
        </w:rPr>
        <w:instrText>ADDIN CSL_CITATION { "citationItems" : [ { "id" : "ITEM-1", "itemData" : { "DOI" : "10.1590/S1415-52732002000100008", "author" : [ { "dropping-particle" : "", "family" : "Soares", "given" : "Sergio Eduardo", "non-dropping-particle" : "", "parse-names" : false, "suffix" : "" } ], "container-title" : "Revista de Nutri\u00e7\u00e3o", "id" : "ITEM-1", "issue" : "1", "issued" : { "date-parts" : [ [ "2002" ] ] }, "page" : "71-81", "title" : "Phenolic acids as antioxidants", "type" : "article-journal", "volume" : "15" }, "uris" : [ "http://www.mendeley.com/documents/?uuid=71b2908d-1a46-490d-b4ba-788f4a09d0fa" ] } ], "mendeley" : { "formattedCitation" : "(Soares, 2002)", "plainTextFormattedCitation" : "(Soares, 2002)", "previouslyFormattedCitation" : "(Soares, 2002)"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(Soares, 2002)</w:t>
      </w:r>
      <w:r w:rsidRPr="003516A7">
        <w:rPr>
          <w:color w:val="auto"/>
          <w:szCs w:val="24"/>
          <w:lang w:eastAsia="pt-BR"/>
        </w:rPr>
        <w:fldChar w:fldCharType="end"/>
      </w:r>
      <w:r w:rsidRPr="003516A7">
        <w:rPr>
          <w:color w:val="auto"/>
          <w:szCs w:val="24"/>
          <w:lang w:eastAsia="pt-BR"/>
        </w:rPr>
        <w:t xml:space="preserve">. </w:t>
      </w:r>
    </w:p>
    <w:p w14:paraId="6DB882FD"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r w:rsidRPr="003516A7">
        <w:rPr>
          <w:color w:val="auto"/>
          <w:szCs w:val="24"/>
          <w:lang w:eastAsia="pt-BR"/>
        </w:rPr>
        <w:t xml:space="preserve">Podem ser divididos em três classes, a primeira é de ácido benzoico e seus derivados, que possuem sete átomos de carbono e são os mais simples encontrados na natureza, embora o seu teor seja baixo em plantas comestíveis, à exceção de frutos vermelhos, rabanete preto e cebolas que podem ter concentrações de várias dezenas de mg/Kg de peso fresco. A segunda classe é formada por ácidos de cinamico e derivados, possuindo nove átomos de carbono. Os ácidos derivados consistem em ρ-cumárico, cafeico e sinápico e são mais comuns que os ácidos benzoicos </w:t>
      </w:r>
      <w:r w:rsidRPr="003516A7">
        <w:rPr>
          <w:color w:val="auto"/>
          <w:szCs w:val="24"/>
          <w:lang w:eastAsia="pt-BR"/>
        </w:rPr>
        <w:fldChar w:fldCharType="begin" w:fldLock="1"/>
      </w:r>
      <w:r w:rsidRPr="003516A7">
        <w:rPr>
          <w:color w:val="auto"/>
          <w:szCs w:val="24"/>
          <w:lang w:eastAsia="pt-BR"/>
        </w:rPr>
        <w:instrText>ADDIN CSL_CITATION { "citationItems" : [ { "id" : "ITEM-1", "itemData" : { "author" : [ { "dropping-particle" : "", "family" : "Pandey", "given" : "Kanti Bhooshan", "non-dropping-particle" : "", "parse-names" : false, "suffix" : "" }, { "dropping-particle" : "", "family" : "Rizvi", "given" : "Syed Ibrahim", "non-dropping-particle" : "", "parse-names" : false, "suffix" : "" } ], "container-title" : "Oxidative Medicine and Cellular Longevity", "id" : "ITEM-1", "issue" : "5", "issued" : { "date-parts" : [ [ "2009" ] ] }, "page" : "270-278", "title" : "Plant polyphenols as dietary antioxidants in human health and disease", "type" : "article-journal", "volume" : "2" }, "uris" : [ "http://www.mendeley.com/documents/?uuid=b1d6903a-aef4-40dd-bc60-5f3f8b5bc6c5" ] }, { "id" : "ITEM-2", "itemData" : { "DOI" : "10.1590/S1415-52732002000100008", "author" : [ { "dropping-particle" : "", "family" : "Soares", "given" : "Sergio Eduardo", "non-dropping-particle" : "", "parse-names" : false, "suffix" : "" } ], "container-title" : "Revista de Nutri\u00e7\u00e3o", "id" : "ITEM-2", "issue" : "1", "issued" : { "date-parts" : [ [ "2002" ] ] }, "page" : "71-81", "title" : "Phenolic acids as antioxidants", "type" : "article-journal", "volume" : "15" }, "uris" : [ "http://www.mendeley.com/documents/?uuid=71b2908d-1a46-490d-b4ba-788f4a09d0fa" ] } ], "mendeley" : { "formattedCitation" : "(Pandey &amp; Rizvi, 2009; Soares, 2002)", "plainTextFormattedCitation" : "(Pandey &amp; Rizvi, 2009; Soares, 2002)", "previouslyFormattedCitation" : "(Pandey &amp; Rizvi, 2009; Soares, 2002)"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(Pandey &amp; Rizvi, 2009; Soares, 2002)</w:t>
      </w:r>
      <w:r w:rsidRPr="003516A7">
        <w:rPr>
          <w:color w:val="auto"/>
          <w:szCs w:val="24"/>
          <w:lang w:eastAsia="pt-BR"/>
        </w:rPr>
        <w:fldChar w:fldCharType="end"/>
      </w:r>
      <w:r w:rsidRPr="003516A7">
        <w:rPr>
          <w:color w:val="auto"/>
          <w:szCs w:val="24"/>
          <w:lang w:eastAsia="pt-BR"/>
        </w:rPr>
        <w:t>. No terceiro caso estes não se apresentam na sua forma natural, sendo eles ligações entre si e os seus compostos. A combinação mais importante sucede entre o ácido cafeico que associado ao ácido quinico</w:t>
      </w:r>
      <w:proofErr w:type="gramStart"/>
      <w:r w:rsidRPr="003516A7">
        <w:rPr>
          <w:color w:val="auto"/>
          <w:szCs w:val="24"/>
          <w:lang w:eastAsia="pt-BR"/>
        </w:rPr>
        <w:t>,</w:t>
      </w:r>
      <w:proofErr w:type="gramEnd"/>
      <w:r w:rsidRPr="003516A7">
        <w:rPr>
          <w:color w:val="auto"/>
          <w:szCs w:val="24"/>
          <w:lang w:eastAsia="pt-BR"/>
        </w:rPr>
        <w:t xml:space="preserve"> origina o ácido clorogénio </w:t>
      </w:r>
      <w:r w:rsidRPr="003516A7">
        <w:rPr>
          <w:color w:val="auto"/>
          <w:szCs w:val="24"/>
          <w:lang w:eastAsia="pt-BR"/>
        </w:rPr>
        <w:fldChar w:fldCharType="begin" w:fldLock="1"/>
      </w:r>
      <w:r w:rsidRPr="003516A7">
        <w:rPr>
          <w:color w:val="auto"/>
          <w:szCs w:val="24"/>
          <w:lang w:eastAsia="pt-BR"/>
        </w:rPr>
        <w:instrText>ADDIN CSL_CITATION { "citationItems" : [ { "id" : "ITEM-1", "itemData" : { "DOI" : "10.1590/S1415-52732002000100008", "author" : [ { "dropping-particle" : "", "family" : "Soares", "given" : "Sergio Eduardo", "non-dropping-particle" : "", "parse-names" : false, "suffix" : "" } ], "container-title" : "Revista de Nutri\u00e7\u00e3o", "id" : "ITEM-1", "issue" : "1", "issued" : { "date-parts" : [ [ "2002" ] ] }, "page" : "71-81", "title" : "Phenolic acids as antioxidants", "type" : "article-journal", "volume" : "15" }, "uris" : [ "http://www.mendeley.com/documents/?uuid=71b2908d-1a46-490d-b4ba-788f4a09d0fa" ] } ], "mendeley" : { "formattedCitation" : "(Soares, 2002)", "plainTextFormattedCitation" : "(Soares, 2002)", "previouslyFormattedCitation" : "(Soares, 2002)" }, "properties" : { "noteIndex" : 0 }, "schema" : "https://github.com/citation-style-language/schema/raw/master/csl-citation.json" }</w:instrText>
      </w:r>
      <w:r w:rsidRPr="003516A7">
        <w:rPr>
          <w:color w:val="auto"/>
          <w:szCs w:val="24"/>
          <w:lang w:eastAsia="pt-BR"/>
        </w:rPr>
        <w:fldChar w:fldCharType="separate"/>
      </w:r>
      <w:r w:rsidRPr="003516A7">
        <w:rPr>
          <w:noProof/>
          <w:color w:val="auto"/>
          <w:szCs w:val="24"/>
          <w:lang w:eastAsia="pt-BR"/>
        </w:rPr>
        <w:t>(Soares, 2002)</w:t>
      </w:r>
      <w:r w:rsidRPr="003516A7">
        <w:rPr>
          <w:color w:val="auto"/>
          <w:szCs w:val="24"/>
          <w:lang w:eastAsia="pt-BR"/>
        </w:rPr>
        <w:fldChar w:fldCharType="end"/>
      </w:r>
      <w:r w:rsidRPr="003516A7">
        <w:rPr>
          <w:color w:val="auto"/>
          <w:szCs w:val="24"/>
          <w:lang w:eastAsia="pt-BR"/>
        </w:rPr>
        <w:t xml:space="preserve">. </w:t>
      </w:r>
      <w:r w:rsidRPr="003516A7">
        <w:rPr>
          <w:rFonts w:eastAsia="Calibri"/>
          <w:color w:val="auto"/>
          <w:szCs w:val="24"/>
          <w:lang w:eastAsia="en-US"/>
        </w:rPr>
        <w:t xml:space="preserve">Têm grande interesse em papéis biológicos como, manter a qualidade dos alimentos e as suas propriedades organoléticas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"10.1021/jf026182t", "author" : [ { "dropping-particle" : "", "family" : "Robbins", "given" : "Rebecca J.", "non-dropping-particle" : "", "parse-names" : false, "suffix" : "" } ], "container-title" : "Journal of Agricultural and Food Chemistry", "id" : "ITEM-1", "issue" : "10", "issued" : { "date-parts" : [ [ "2003" ] ] }, "page" : "2866\u20132887", "title" : "Phenolic Acids in Foods: An Overview of Analytical Methodology", "type" : "article-journal", "volume" : "51" }, "uris" : [ "http://www.mendeley.com/documents/?uuid=0610efb8-12e5-46eb-8b2c-0c5b90a72726" ] } ], "mendeley" : { "formattedCitation" : "(Robbins, 2003)", "plainTextFormattedCitation" : "(Robbins, 2003)", "previouslyFormattedCitation" : "(Robbins, 2003)"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(Robbins, 2003)</w:t>
      </w:r>
      <w:r w:rsidRPr="003516A7">
        <w:rPr>
          <w:rFonts w:eastAsia="Calibri"/>
          <w:color w:val="auto"/>
          <w:szCs w:val="24"/>
          <w:lang w:eastAsia="en-US"/>
        </w:rPr>
        <w:fldChar w:fldCharType="end"/>
      </w:r>
      <w:r w:rsidRPr="003516A7">
        <w:rPr>
          <w:rFonts w:eastAsia="Calibri"/>
          <w:color w:val="auto"/>
          <w:szCs w:val="24"/>
          <w:lang w:eastAsia="en-US"/>
        </w:rPr>
        <w:t>. Com a ingestão de fruta e legumes estes ajudam na prevenção contra doenças causadas pelos danos oxidativos (doenças coronárias, acidente vascular cerebral e cancro), pois o ácido clorogénio e o cafeico, demostram uma grande ação inibitória sobre a peroxidação de células como eritrócitos e monócitos</w:t>
      </w:r>
      <w:r>
        <w:rPr>
          <w:rFonts w:eastAsia="Calibri"/>
          <w:color w:val="auto"/>
          <w:szCs w:val="24"/>
          <w:lang w:eastAsia="en-US"/>
        </w:rPr>
        <w:t xml:space="preserve"> </w:t>
      </w:r>
      <w:r w:rsidRPr="003516A7">
        <w:rPr>
          <w:rFonts w:eastAsia="Calibri"/>
          <w:color w:val="auto"/>
          <w:szCs w:val="24"/>
          <w:lang w:eastAsia="en-US"/>
        </w:rPr>
        <w:fldChar w:fldCharType="begin" w:fldLock="1"/>
      </w:r>
      <w:r w:rsidRPr="003516A7">
        <w:rPr>
          <w:rFonts w:eastAsia="Calibri"/>
          <w:color w:val="auto"/>
          <w:szCs w:val="24"/>
          <w:lang w:eastAsia="en-US"/>
        </w:rPr>
        <w:instrText>ADDIN CSL_CITATION { "citationItems" : [ { "id" : "ITEM-1", "itemData" : { "DOI" : "10.1021/jf026182t", "author" : [ { "dropping-particle" : "", "family" : "Robbins", "given" : "Rebecca J.", "non-dropping-particle" : "", "parse-names" : false, "suffix" : "" } ], "container-title" : "Journal of Agricultural and Food Chemistry", "id" : "ITEM-1", "issue" : "10", "issued" : { "date-parts" : [ [ "2003" ] ] }, "page" : "2866\u20132887", "title" : "Phenolic Acids in Foods: An Overview of Analytical Methodology", "type" : "article-journal", "volume" : "51" }, "uris" : [ "http://www.mendeley.com/documents/?uuid=0610efb8-12e5-46eb-8b2c-0c5b90a72726" ] }, { "id" : "ITEM-2", "itemData" : { "DOI" : "10.1590/S1415-52732002000100008", "author" : [ { "dropping-particle" : "", "family" : "Soares", "given" : "Sergio Eduardo", "non-dropping-particle" : "", "parse-names" : false, "suffix" : "" } ], "container-title" : "Revista de Nutri\u00e7\u00e3o", "id" : "ITEM-2", "issue" : "1", "issued" : { "date-parts" : [ [ "2002" ] ] }, "page" : "71-81", "title" : "Phenolic acids as antioxidants", "type" : "article-journal", "volume" : "15" }, "uris" : [ "http://www.mendeley.com/documents/?uuid=71b2908d-1a46-490d-b4ba-788f4a09d0fa" ] } ], "mendeley" : { "formattedCitation" : "(Robbins, 2003; Soares, 2002)", "plainTextFormattedCitation" : "(Robbins, 2003; Soares, 2002)", "previouslyFormattedCitation" : "(Robbins, 2003; Soares, 2002)" }, "properties" : { "noteIndex" : 0 }, "schema" : "https://github.com/citation-style-language/schema/raw/master/csl-citation.json" }</w:instrText>
      </w:r>
      <w:r w:rsidRPr="003516A7">
        <w:rPr>
          <w:rFonts w:eastAsia="Calibri"/>
          <w:color w:val="auto"/>
          <w:szCs w:val="24"/>
          <w:lang w:eastAsia="en-US"/>
        </w:rPr>
        <w:fldChar w:fldCharType="separate"/>
      </w:r>
      <w:r w:rsidRPr="003516A7">
        <w:rPr>
          <w:rFonts w:eastAsia="Calibri"/>
          <w:noProof/>
          <w:color w:val="auto"/>
          <w:szCs w:val="24"/>
          <w:lang w:eastAsia="en-US"/>
        </w:rPr>
        <w:t>(Robbins, 2003; Soares, 2002)</w:t>
      </w:r>
      <w:r w:rsidRPr="003516A7">
        <w:rPr>
          <w:rFonts w:eastAsia="Calibri"/>
          <w:color w:val="auto"/>
          <w:szCs w:val="24"/>
          <w:lang w:eastAsia="en-US"/>
        </w:rPr>
        <w:fldChar w:fldCharType="end"/>
      </w:r>
      <w:r w:rsidRPr="003516A7">
        <w:rPr>
          <w:rFonts w:eastAsia="Calibri"/>
          <w:color w:val="auto"/>
          <w:szCs w:val="24"/>
          <w:lang w:eastAsia="en-US"/>
        </w:rPr>
        <w:t xml:space="preserve">. </w:t>
      </w:r>
    </w:p>
    <w:p w14:paraId="5A860F82" w14:textId="77777777" w:rsidR="003516A7" w:rsidRDefault="003516A7" w:rsidP="003516A7">
      <w:pPr>
        <w:tabs>
          <w:tab w:val="left" w:pos="5814"/>
        </w:tabs>
        <w:spacing w:after="160" w:line="360" w:lineRule="auto"/>
        <w:ind w:left="0" w:right="0" w:firstLine="0"/>
        <w:rPr>
          <w:bCs/>
          <w:color w:val="auto"/>
          <w:szCs w:val="24"/>
          <w:lang w:eastAsia="pt-BR"/>
        </w:rPr>
      </w:pPr>
      <w:r w:rsidRPr="003516A7">
        <w:rPr>
          <w:bCs/>
          <w:color w:val="auto"/>
          <w:szCs w:val="24"/>
          <w:lang w:eastAsia="pt-BR"/>
        </w:rPr>
        <w:t xml:space="preserve">Com o alto potencial antioxidante dos ácidos fenólicos, estes têm como objetivo vir a substituir os antioxidantes sintéticos que são bastante usados na conservação de alimentos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"DOI" : "10.1590/S1415-52732002000100008", "author" : [ { "dropping-particle" : "", "family" : "Soares", "given" : "Sergio Eduardo", "non-dropping-particle" : "", "parse-names" : false, "suffix" : "" } ], "container-title" : "Revista de Nutri\u00e7\u00e3o", "id" : "ITEM-1", "issue" : "1", "issued" : { "date-parts" : [ [ "2002" ] ] }, "page" : "71-81", "title" : "Phenolic acids as antioxidants", "type" : "article-journal", "volume" : "15" }, "uris" : [ "http://www.mendeley.com/documents/?uuid=71b2908d-1a46-490d-b4ba-788f4a09d0fa" ] } ], "mendeley" : { "formattedCitation" : "(Soares, 2002)", "plainTextFormattedCitation" : "(Soares, 2002)", "previouslyFormattedCitation" : "(Soares, 2002)"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(Soares, 2002)</w:t>
      </w:r>
      <w:r w:rsidRPr="003516A7">
        <w:rPr>
          <w:bCs/>
          <w:color w:val="auto"/>
          <w:szCs w:val="24"/>
          <w:lang w:eastAsia="pt-BR"/>
        </w:rPr>
        <w:fldChar w:fldCharType="end"/>
      </w:r>
      <w:r w:rsidRPr="003516A7">
        <w:rPr>
          <w:bCs/>
          <w:color w:val="auto"/>
          <w:szCs w:val="24"/>
          <w:lang w:eastAsia="pt-BR"/>
        </w:rPr>
        <w:t>.</w:t>
      </w:r>
    </w:p>
    <w:p w14:paraId="2BB81AFA" w14:textId="77777777" w:rsidR="007F1B6E" w:rsidRDefault="007F1B6E" w:rsidP="003516A7">
      <w:pPr>
        <w:tabs>
          <w:tab w:val="left" w:pos="5814"/>
        </w:tabs>
        <w:spacing w:after="160" w:line="360" w:lineRule="auto"/>
        <w:ind w:left="0" w:right="0" w:firstLine="0"/>
        <w:rPr>
          <w:bCs/>
          <w:color w:val="auto"/>
          <w:szCs w:val="24"/>
          <w:lang w:eastAsia="pt-BR"/>
        </w:rPr>
      </w:pPr>
    </w:p>
    <w:p w14:paraId="50EFB087" w14:textId="77777777" w:rsidR="003516A7" w:rsidRPr="008474BA" w:rsidRDefault="003516A7" w:rsidP="008474BA">
      <w:pPr>
        <w:pStyle w:val="Cabealho4"/>
        <w:rPr>
          <w:rFonts w:ascii="Times New Roman" w:hAnsi="Times New Roman" w:cs="Times New Roman"/>
          <w:i w:val="0"/>
          <w:color w:val="auto"/>
        </w:rPr>
      </w:pPr>
      <w:bookmarkStart w:id="21" w:name="_Toc479154813"/>
      <w:r w:rsidRPr="008474BA">
        <w:rPr>
          <w:rFonts w:ascii="Times New Roman" w:hAnsi="Times New Roman" w:cs="Times New Roman"/>
          <w:i w:val="0"/>
          <w:color w:val="auto"/>
        </w:rPr>
        <w:lastRenderedPageBreak/>
        <w:t>1.3.3.3 Flavonoides</w:t>
      </w:r>
      <w:bookmarkEnd w:id="21"/>
    </w:p>
    <w:p w14:paraId="1653FE5E" w14:textId="77777777"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22" w:name="_Toc462576796"/>
      <w:bookmarkStart w:id="23" w:name="_Toc462576833"/>
      <w:bookmarkStart w:id="24" w:name="_Toc462577945"/>
      <w:bookmarkStart w:id="25" w:name="_Toc462578579"/>
      <w:bookmarkStart w:id="26" w:name="_Toc462579042"/>
      <w:bookmarkStart w:id="27" w:name="_Toc462673430"/>
      <w:bookmarkStart w:id="28" w:name="_Toc462887943"/>
      <w:bookmarkStart w:id="29" w:name="_Toc462888037"/>
      <w:bookmarkStart w:id="30" w:name="_Toc462891318"/>
      <w:bookmarkStart w:id="31" w:name="_Toc478510871"/>
      <w:bookmarkStart w:id="32" w:name="_Toc479154467"/>
      <w:bookmarkStart w:id="33" w:name="_Toc479154814"/>
      <w:r w:rsidRPr="003516A7">
        <w:rPr>
          <w:bCs/>
          <w:color w:val="auto"/>
          <w:szCs w:val="24"/>
          <w:lang w:eastAsia="pt-BR"/>
        </w:rPr>
        <w:t xml:space="preserve">Os flavonoides são os mais importantes e os que representam a maior classe de metabólitos secundários dos compostos fenólicos </w:t>
      </w:r>
      <w:r w:rsidRPr="003516A7">
        <w:rPr>
          <w:bCs/>
          <w:color w:val="auto"/>
          <w:szCs w:val="24"/>
          <w:lang w:eastAsia="pt-BR"/>
        </w:rPr>
        <w:fldChar w:fldCharType="begin" w:fldLock="1"/>
      </w:r>
      <w:r w:rsidR="00170389">
        <w:rPr>
          <w:bCs/>
          <w:color w:val="auto"/>
          <w:szCs w:val="24"/>
          <w:lang w:eastAsia="pt-BR"/>
        </w:rPr>
        <w:instrText>ADDIN CSL_CITATION { "citationItems" : [ { "id" : "ITEM-1", "itemData" : { "author" : [ { "dropping-particle" : "", "family" : "Cohen", "given" : "Michael F.", "non-dropping-particle" : "", "parse-names" : false, "suffix" : "" }, { "dropping-particle" : "", "family" : "Sakihama", "given" : "Yasuko", "non-dropping-particle" : "", "parse-names" : false, "suffix" : "" }, { "dropping-particle" : "", "family" : "Yamasaki", "given" : "Hideo", "non-dropping-particle" : "", "parse-names" : false, "suffix" : "" } ], "container-title" : "Research Development plant physiology", "id" : "ITEM-1", "issued" : { "date-parts" : [ [ "2001" ] ] }, "page" : "157-173", "title" : "Roles of plant flavonoids in interactions with microtubes: from protection against pathogens to the mediation of mutualism", "type" : "article-journal", "volume" : "2" }, "uris" : [ "http://www.mendeley.com/documents/?uuid=13b546a4-4579-42b5-acc9-47cb7d63b6c0" ] }, { "id" : "ITEM-2", "itemData" : { "DOI" : "10.5935/1984-6835.20090024", "ISSN" : "1984-6835", "abstract" : "The inflammatory process, involved in several pathologies, is the natural response of the organism to an infection or to tissue injury. It comprises basically two defense mechanisms: an unspecific response (innate response), responsible for common characteristics of inflammation (redness, edema, a sense of heat, pain and loss of function) and an immunological response that involves the production of specific antibodies against an aggressor agent. The inflammatory response is not always sufficient and the process can progress to a state of chronic inflammation. Non-steroidal anti-inflammatory drugs (NSAIDs) are nowadays the main family of medicaments used to treat inflammation but they frequently show gastric and cardiovascular side effects. This situation is an incentive towards a search for new molecules for the treatment of inflammation. Many Brazilian plants are popularly used against inflammatory processes, and are therefore potential sources of new bioactive molecules. Among the different chemical classes of bioactive natural products, flavonoids - a group of polyphenolic compounds \u2013 show special promise. Flavonoids are widely distributed throughout the plant kingdom and are pharmacologically important, particularly for their action on inflammation and the immune system. In this paper different aspects of the inflammatory process and its treatment are described, with a special focus on the anti-inflammatory activity of flavonoids. A brief evaluation of the structure-activity relationship is presented.", "author" : [ { "dropping-particle" : "", "family" : "Coutinho, Marcela A. S.; Muzitano, Michele F.; Costa", "given" : "S\u00f4nia S.", "non-dropping-particle" : "", "parse-names" : false, "suffix" : "" } ], "container-title" : "Revista virtual de qu\u00edmica", "id" : "ITEM-2", "issue" : "3", "issued" : { "date-parts" : [ [ "2009" ] ] }, "page" : "241-256", "title" : "Flavonoids: Potential therapeutic agents for the inflammatory process", "type" : "article-journal", "volume" : "1" }, "uris" : [ "http://www.mendeley.com/documents/?uuid=7c81897b-6806-4e6f-aae4-551af89cd1ee" ] } ], "mendeley" : { "formattedCitation" : "(Cohen, Sakihama, &amp; Yamasaki, 2001; Coutinho, Marcela A. S.; Muzitano, Michele F.; Costa, 2009)", "manualFormatting" : "(Cohen et al., 2001; Coutinho et al., 2009)", "plainTextFormattedCitation" : "(Cohen, Sakihama, &amp; Yamasaki, 2001; Coutinho, Marcela A. S.; Muzitano, Michele F.; Costa, 2009)", "previouslyFormattedCitation" : "(Cohen, Sakihama, &amp; Yamasaki, 2001; Coutinho, Marcela A. S.; Muzitano, Michele F.; Costa, 2009)" }, "properties" : { "noteIndex" : 0 }, "schema" : "https://github.com/citation-style-language/schema/raw/master/csl-citation.json" }</w:instrText>
      </w:r>
      <w:r w:rsidRPr="003516A7">
        <w:rPr>
          <w:bCs/>
          <w:color w:val="auto"/>
          <w:szCs w:val="24"/>
          <w:lang w:eastAsia="pt-BR"/>
        </w:rPr>
        <w:fldChar w:fldCharType="separate"/>
      </w:r>
      <w:r w:rsidR="00135EE0">
        <w:rPr>
          <w:bCs/>
          <w:noProof/>
          <w:color w:val="auto"/>
          <w:szCs w:val="24"/>
          <w:lang w:eastAsia="pt-BR"/>
        </w:rPr>
        <w:t>(Cohen et al., 2001; Coutinho et al.</w:t>
      </w:r>
      <w:r w:rsidRPr="003516A7">
        <w:rPr>
          <w:bCs/>
          <w:noProof/>
          <w:color w:val="auto"/>
          <w:szCs w:val="24"/>
          <w:lang w:eastAsia="pt-BR"/>
        </w:rPr>
        <w:t>, 2009)</w:t>
      </w:r>
      <w:r w:rsidRPr="003516A7">
        <w:rPr>
          <w:bCs/>
          <w:color w:val="auto"/>
          <w:szCs w:val="24"/>
          <w:lang w:eastAsia="pt-BR"/>
        </w:rPr>
        <w:fldChar w:fldCharType="end"/>
      </w:r>
      <w:r w:rsidRPr="003516A7">
        <w:rPr>
          <w:bCs/>
          <w:color w:val="auto"/>
          <w:szCs w:val="24"/>
          <w:lang w:eastAsia="pt-BR"/>
        </w:rPr>
        <w:t xml:space="preserve">. Existem mais de 5000 diferentes tipos de flavonoides. </w:t>
      </w:r>
      <w:r w:rsidRPr="003516A7">
        <w:rPr>
          <w:bCs/>
          <w:color w:val="auto"/>
          <w:szCs w:val="24"/>
          <w:lang w:eastAsia="pt-BR"/>
        </w:rPr>
        <w:fldChar w:fldCharType="begin" w:fldLock="1"/>
      </w:r>
      <w:r w:rsidR="00170389">
        <w:rPr>
          <w:bCs/>
          <w:color w:val="auto"/>
          <w:szCs w:val="24"/>
          <w:lang w:eastAsia="pt-BR"/>
        </w:rPr>
        <w:instrText>ADDIN CSL_CITATION { "citationItems" : [ { "id" : "ITEM-1",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"ITEM-1", "issue" : "6", "issued" : { "date-parts" : [ [ "2002" ] ] }, "page" : "271-278", "title" : "Los flavonoides: Propiedades y acciones antioxidantes", "type" : "article-journal", "volume" : "17" }, "uris" : [ "http://www.mendeley.com/documents/?uuid=57b70ad3-d955-4ae5-85d4-a10686205332" ] } ], "mendeley" : { "formattedCitation" : "(Mart\u00ednez-Fl\u00f3rez, Gonz\u00e1lez-Gallego, Culebras, &amp; Tu\u00f1\u00f3n, 2002)", "manualFormatting" : "(Mart\u00ednez-Fl\u00f3rez et al., 2002)", "plainTextFormattedCitation" : "(Mart\u00ednez-Fl\u00f3rez, Gonz\u00e1lez-Gallego, Culebras, &amp; Tu\u00f1\u00f3n, 2002)", "previouslyFormattedCitation" : "(Mart\u00ednez-Fl\u00f3rez, Gonz\u00e1lez-Gallego, Culebras, &amp; Tu\u00f1\u00f3n, 2002)"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(Martínez-Flóre</w:t>
      </w:r>
      <w:r w:rsidR="00135EE0">
        <w:rPr>
          <w:bCs/>
          <w:noProof/>
          <w:color w:val="auto"/>
          <w:szCs w:val="24"/>
          <w:lang w:eastAsia="pt-BR"/>
        </w:rPr>
        <w:t>z et al.</w:t>
      </w:r>
      <w:r w:rsidRPr="003516A7">
        <w:rPr>
          <w:bCs/>
          <w:noProof/>
          <w:color w:val="auto"/>
          <w:szCs w:val="24"/>
          <w:lang w:eastAsia="pt-BR"/>
        </w:rPr>
        <w:t>, 2002)</w:t>
      </w:r>
      <w:r w:rsidRPr="003516A7">
        <w:rPr>
          <w:bCs/>
          <w:color w:val="auto"/>
          <w:szCs w:val="24"/>
          <w:lang w:eastAsia="pt-BR"/>
        </w:rPr>
        <w:fldChar w:fldCharType="end"/>
      </w:r>
      <w:r w:rsidRPr="003516A7">
        <w:rPr>
          <w:bCs/>
          <w:color w:val="auto"/>
          <w:szCs w:val="24"/>
          <w:lang w:eastAsia="pt-BR"/>
        </w:rPr>
        <w:t>.</w:t>
      </w:r>
      <w:bookmarkEnd w:id="22"/>
      <w:bookmarkEnd w:id="23"/>
      <w:bookmarkEnd w:id="24"/>
      <w:bookmarkEnd w:id="25"/>
      <w:bookmarkEnd w:id="26"/>
      <w:bookmarkEnd w:id="27"/>
      <w:bookmarkEnd w:id="28"/>
      <w:bookmarkEnd w:id="29"/>
      <w:bookmarkEnd w:id="30"/>
      <w:bookmarkEnd w:id="31"/>
      <w:bookmarkEnd w:id="32"/>
      <w:bookmarkEnd w:id="33"/>
    </w:p>
    <w:p w14:paraId="2F520F07" w14:textId="0C8D9F28"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34" w:name="_Toc462576797"/>
      <w:bookmarkStart w:id="35" w:name="_Toc462576834"/>
      <w:bookmarkStart w:id="36" w:name="_Toc462577946"/>
      <w:bookmarkStart w:id="37" w:name="_Toc462578580"/>
      <w:bookmarkStart w:id="38" w:name="_Toc462579043"/>
      <w:bookmarkStart w:id="39" w:name="_Toc462673431"/>
      <w:bookmarkStart w:id="40" w:name="_Toc462887944"/>
      <w:bookmarkStart w:id="41" w:name="_Toc462888038"/>
      <w:bookmarkStart w:id="42" w:name="_Toc462891319"/>
      <w:bookmarkStart w:id="43" w:name="_Toc478510872"/>
      <w:bookmarkStart w:id="44" w:name="_Toc479154468"/>
      <w:bookmarkStart w:id="45" w:name="_Toc479154815"/>
      <w:r w:rsidRPr="003516A7">
        <w:rPr>
          <w:bCs/>
          <w:color w:val="auto"/>
          <w:szCs w:val="24"/>
          <w:lang w:eastAsia="pt-BR"/>
        </w:rPr>
        <w:t xml:space="preserve">São constituídos por uma estrutura química que permite a variação e substituição do seu esqueleto carbónico básico promovidas por reações alquilação, glicosilação ou oligomerização </w:t>
      </w:r>
      <w:r w:rsidRPr="003516A7">
        <w:rPr>
          <w:bCs/>
          <w:color w:val="auto"/>
          <w:szCs w:val="24"/>
          <w:lang w:eastAsia="pt-BR"/>
        </w:rPr>
        <w:fldChar w:fldCharType="begin" w:fldLock="1"/>
      </w:r>
      <w:r w:rsidR="00703FCF">
        <w:rPr>
          <w:bCs/>
          <w:color w:val="auto"/>
          <w:szCs w:val="24"/>
          <w:lang w:eastAsia="pt-BR"/>
        </w:rPr>
        <w:instrText>ADDIN CSL_CITATION { "citationItems" : [ { "id" : "ITEM-1", "itemData" : { "DOI" : "10.5935/1984-6835.20090024", "ISSN" : "1984-6835", "abstract" : "The inflammatory process, involved in several pathologies, is the natural response of the organism to an infection or to tissue injury. It comprises basically two defense mechanisms: an unspecific response (innate response), responsible for common characteristics of inflammation (redness, edema, a sense of heat, pain and loss of function) and an immunological response that involves the production of specific antibodies against an aggressor agent. The inflammatory response is not always sufficient and the process can progress to a state of chronic inflammation. Non-steroidal anti-inflammatory drugs (NSAIDs) are nowadays the main family of medicaments used to treat inflammation but they frequently show gastric and cardiovascular side effects. This situation is an incentive towards a search for new molecules for the treatment of inflammation. Many Brazilian plants are popularly used against inflammatory processes, and are therefore potential sources of new bioactive molecules. Among the different chemical classes of bioactive natural products, flavonoids - a group of polyphenolic compounds \u2013 show special promise. Flavonoids are widely distributed throughout the plant kingdom and are pharmacologically important, particularly for their action on inflammation and the immune system. In this paper different aspects of the inflammatory process and its treatment are described, with a special focus on the anti-inflammatory activity of flavonoids. A brief evaluation of the structure-activity relationship is presented.", "author" : [ { "dropping-particle" : "", "family" : "Coutinho, Marcela A. S.; Muzitano, Michele F.; Costa", "given" : "S\u00f4nia S.", "non-dropping-particle" : "", "parse-names" : false, "suffix" : "" } ], "container-title" : "Revista virtual de qu\u00edmica", "id" : "ITEM-1", "issue" : "3", "issued" : { "date-parts" : [ [ "2009" ] ] }, "page" : "241-256", "title" : "Flavonoids: Potential therapeutic agents for the inflammatory process", "type" : "article-journal", "volume" : "1" }, "uris" : [ "http://www.mendeley.com/documents/?uuid=7c81897b-6806-4e6f-aae4-551af89cd1ee" ] } ], "mendeley" : { "formattedCitation" : "(Coutinho, Marcela A. S.; Muzitano, Michele F.; Costa, 2009)", "manualFormatting" : "(Coutinho et al., 2009)", "plainTextFormattedCitation" : "(Coutinho, Marcela A. S.; Muzitano, Michele F.; Costa, 2009)", "previouslyFormattedCitation" : "(Coutinho, Marcela A. S.; Muzitano, Michele F.; Costa, 2009)" }, "properties" : { "noteIndex" : 0 }, "schema" : "https://github.com/citation-style-language/schema/raw/master/csl-citation.json" }</w:instrText>
      </w:r>
      <w:r w:rsidRPr="003516A7">
        <w:rPr>
          <w:bCs/>
          <w:color w:val="auto"/>
          <w:szCs w:val="24"/>
          <w:lang w:eastAsia="pt-BR"/>
        </w:rPr>
        <w:fldChar w:fldCharType="separate"/>
      </w:r>
      <w:r w:rsidR="00703FCF">
        <w:rPr>
          <w:bCs/>
          <w:noProof/>
          <w:color w:val="auto"/>
          <w:szCs w:val="24"/>
          <w:lang w:eastAsia="pt-BR"/>
        </w:rPr>
        <w:t>(Coutinho</w:t>
      </w:r>
      <w:r w:rsidRPr="003516A7">
        <w:rPr>
          <w:bCs/>
          <w:noProof/>
          <w:color w:val="auto"/>
          <w:szCs w:val="24"/>
          <w:lang w:eastAsia="pt-BR"/>
        </w:rPr>
        <w:t xml:space="preserve"> </w:t>
      </w:r>
      <w:r w:rsidR="00285E39">
        <w:rPr>
          <w:bCs/>
          <w:noProof/>
          <w:color w:val="auto"/>
          <w:szCs w:val="24"/>
          <w:lang w:eastAsia="pt-BR"/>
        </w:rPr>
        <w:t>et al.,</w:t>
      </w:r>
      <w:r w:rsidRPr="003516A7">
        <w:rPr>
          <w:bCs/>
          <w:noProof/>
          <w:color w:val="auto"/>
          <w:szCs w:val="24"/>
          <w:lang w:eastAsia="pt-BR"/>
        </w:rPr>
        <w:t xml:space="preserve"> 2009)</w:t>
      </w:r>
      <w:r w:rsidRPr="003516A7">
        <w:rPr>
          <w:bCs/>
          <w:color w:val="auto"/>
          <w:szCs w:val="24"/>
          <w:lang w:eastAsia="pt-BR"/>
        </w:rPr>
        <w:fldChar w:fldCharType="end"/>
      </w:r>
      <w:r w:rsidRPr="003516A7">
        <w:rPr>
          <w:bCs/>
          <w:color w:val="auto"/>
          <w:szCs w:val="24"/>
          <w:lang w:eastAsia="pt-BR"/>
        </w:rPr>
        <w:t>.</w:t>
      </w:r>
      <w:bookmarkEnd w:id="34"/>
      <w:bookmarkEnd w:id="35"/>
      <w:bookmarkEnd w:id="36"/>
      <w:bookmarkEnd w:id="37"/>
      <w:bookmarkEnd w:id="38"/>
      <w:bookmarkEnd w:id="39"/>
      <w:bookmarkEnd w:id="40"/>
      <w:bookmarkEnd w:id="41"/>
      <w:bookmarkEnd w:id="42"/>
      <w:bookmarkEnd w:id="43"/>
      <w:bookmarkEnd w:id="44"/>
      <w:bookmarkEnd w:id="45"/>
    </w:p>
    <w:p w14:paraId="7A173FD4" w14:textId="3987D39F"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46" w:name="_Toc462576798"/>
      <w:bookmarkStart w:id="47" w:name="_Toc462576835"/>
      <w:bookmarkStart w:id="48" w:name="_Toc462577947"/>
      <w:bookmarkStart w:id="49" w:name="_Toc462578581"/>
      <w:bookmarkStart w:id="50" w:name="_Toc462579044"/>
      <w:bookmarkStart w:id="51" w:name="_Toc462673432"/>
      <w:bookmarkStart w:id="52" w:name="_Toc462709756"/>
      <w:bookmarkStart w:id="53" w:name="_Toc462887945"/>
      <w:bookmarkStart w:id="54" w:name="_Toc462888039"/>
      <w:bookmarkStart w:id="55" w:name="_Toc462891320"/>
      <w:bookmarkStart w:id="56" w:name="_Toc478510873"/>
      <w:bookmarkStart w:id="57" w:name="_Toc479154469"/>
      <w:bookmarkStart w:id="58" w:name="_Toc479154816"/>
      <w:r w:rsidRPr="003516A7">
        <w:rPr>
          <w:bCs/>
          <w:color w:val="auto"/>
          <w:szCs w:val="24"/>
          <w:lang w:eastAsia="pt-BR"/>
        </w:rPr>
        <w:t>Podem-se diferenciar em várias subclasses derivada das duas características estruturais como flavan, tais como a catequina, flavonóis</w:t>
      </w:r>
      <w:r w:rsidR="007152EC">
        <w:rPr>
          <w:bCs/>
          <w:color w:val="auto"/>
          <w:szCs w:val="24"/>
          <w:lang w:eastAsia="pt-BR"/>
        </w:rPr>
        <w:t xml:space="preserve"> e</w:t>
      </w:r>
      <w:r w:rsidRPr="003516A7">
        <w:rPr>
          <w:bCs/>
          <w:color w:val="auto"/>
          <w:szCs w:val="24"/>
          <w:lang w:eastAsia="pt-BR"/>
        </w:rPr>
        <w:t xml:space="preserve"> como a quercetina, flavonas, antocianinas, chalconas, flavononas, flavanonóis e isoflavonas</w:t>
      </w:r>
      <w:r w:rsidR="00665260">
        <w:rPr>
          <w:bCs/>
          <w:color w:val="auto"/>
          <w:szCs w:val="24"/>
          <w:lang w:eastAsia="pt-BR"/>
        </w:rPr>
        <w:t xml:space="preserve"> </w:t>
      </w:r>
      <w:r w:rsidRPr="003516A7">
        <w:rPr>
          <w:bCs/>
          <w:color w:val="auto"/>
          <w:szCs w:val="24"/>
          <w:lang w:eastAsia="pt-BR"/>
        </w:rPr>
        <w:fldChar w:fldCharType="begin" w:fldLock="1"/>
      </w:r>
      <w:r w:rsidR="00703FCF">
        <w:rPr>
          <w:bCs/>
          <w:color w:val="auto"/>
          <w:szCs w:val="24"/>
          <w:lang w:eastAsia="pt-BR"/>
        </w:rPr>
        <w:instrText>ADDIN CSL_CITATION { "citationItems" : [ { "id" : "ITEM-1", "itemData" : { "DOI" : "10.5935/1984-6835.20090024", "ISSN" : "1984-6835", "abstract" : "The inflammatory process, involved in several pathologies, is the natural response of the organism to an infection or to tissue injury. It comprises basically two defense mechanisms: an unspecific response (innate response), responsible for common characteristics of inflammation (redness, edema, a sense of heat, pain and loss of function) and an immunological response that involves the production of specific antibodies against an aggressor agent. The inflammatory response is not always sufficient and the process can progress to a state of chronic inflammation. Non-steroidal anti-inflammatory drugs (NSAIDs) are nowadays the main family of medicaments used to treat inflammation but they frequently show gastric and cardiovascular side effects. This situation is an incentive towards a search for new molecules for the treatment of inflammation. Many Brazilian plants are popularly used against inflammatory processes, and are therefore potential sources of new bioactive molecules. Among the different chemical classes of bioactive natural products, flavonoids - a group of polyphenolic compounds \u2013 show special promise. Flavonoids are widely distributed throughout the plant kingdom and are pharmacologically important, particularly for their action on inflammation and the immune system. In this paper different aspects of the inflammatory process and its treatment are described, with a special focus on the anti-inflammatory activity of flavonoids. A brief evaluation of the structure-activity relationship is presented.", "author" : [ { "dropping-particle" : "", "family" : "Coutinho, Marcela A. S.; Muzitano, Michele F.; Costa", "given" : "S\u00f4nia S.", "non-dropping-particle" : "", "parse-names" : false, "suffix" : "" } ], "container-title" : "Revista virtual de qu\u00edmica", "id" : "ITEM-1", "issue" : "3", "issued" : { "date-parts" : [ [ "2009" ] ] }, "page" : "241-256", "title" : "Flavonoids: Potential therapeutic agents for the inflammatory process", "type" : "article-journal", "volume" : "1" }, "uris" : [ "http://www.mendeley.com/documents/?uuid=7c81897b-6806-4e6f-aae4-551af89cd1ee" ] }, { "id" : "ITEM-2",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"ITEM-2", "issue" : "6", "issued" : { "date-parts" : [ [ "2002" ] ] }, "page" : "271-278", "title" : "Los flavonoides: Propiedades y acciones antioxidantes", "type" : "article-journal", "volume" : "17" }, "uris" : [ "http://www.mendeley.com/documents/?uuid=57b70ad3-d955-4ae5-85d4-a10686205332" ] } ], "mendeley" : { "formattedCitation" : "(Coutinho, Marcela A. S.; Muzitano, Michele F.; Costa, 2009; Mart\u00ednez-Fl\u00f3rez et al., 2002)", "manualFormatting" : "(Coutinho et al., 2009; Mart\u00ednez-Fl\u00f3rez et al., 2002)", "plainTextFormattedCitation" : "(Coutinho, Marcela A. S.; Muzitano, Michele F.; Costa, 2009; Mart\u00ednez-Fl\u00f3rez et al., 2002)", "previouslyFormattedCitation" : "(Coutinho, Marcela A. S.; Muzitano, Michele F.; Costa, 2009; Mart\u00ednez-Fl\u00f3rez et al., 2002)" }, "properties" : { "noteIndex" : 0 }, "schema" : "https://github.com/citation-style-language/schema/raw/master/csl-citation.json" }</w:instrText>
      </w:r>
      <w:r w:rsidRPr="003516A7">
        <w:rPr>
          <w:bCs/>
          <w:color w:val="auto"/>
          <w:szCs w:val="24"/>
          <w:lang w:eastAsia="pt-BR"/>
        </w:rPr>
        <w:fldChar w:fldCharType="separate"/>
      </w:r>
      <w:r w:rsidR="00703FCF">
        <w:rPr>
          <w:bCs/>
          <w:noProof/>
          <w:color w:val="auto"/>
          <w:szCs w:val="24"/>
          <w:lang w:eastAsia="pt-BR"/>
        </w:rPr>
        <w:t>(Coutinho</w:t>
      </w:r>
      <w:r w:rsidR="00285E39">
        <w:rPr>
          <w:bCs/>
          <w:noProof/>
          <w:color w:val="auto"/>
          <w:szCs w:val="24"/>
          <w:lang w:eastAsia="pt-BR"/>
        </w:rPr>
        <w:t xml:space="preserve"> </w:t>
      </w:r>
      <w:r w:rsidR="00192038">
        <w:rPr>
          <w:bCs/>
          <w:noProof/>
          <w:color w:val="auto"/>
          <w:szCs w:val="24"/>
          <w:lang w:eastAsia="pt-BR"/>
        </w:rPr>
        <w:t>et al.</w:t>
      </w:r>
      <w:r w:rsidRPr="003516A7">
        <w:rPr>
          <w:bCs/>
          <w:noProof/>
          <w:color w:val="auto"/>
          <w:szCs w:val="24"/>
          <w:lang w:eastAsia="pt-BR"/>
        </w:rPr>
        <w:t>, 2009; Martínez-Flórez et al., 2002)</w:t>
      </w:r>
      <w:bookmarkEnd w:id="46"/>
      <w:bookmarkEnd w:id="47"/>
      <w:bookmarkEnd w:id="48"/>
      <w:bookmarkEnd w:id="49"/>
      <w:bookmarkEnd w:id="50"/>
      <w:bookmarkEnd w:id="51"/>
      <w:bookmarkEnd w:id="52"/>
      <w:bookmarkEnd w:id="53"/>
      <w:bookmarkEnd w:id="54"/>
      <w:bookmarkEnd w:id="55"/>
      <w:r w:rsidRPr="003516A7">
        <w:rPr>
          <w:bCs/>
          <w:color w:val="auto"/>
          <w:szCs w:val="24"/>
          <w:lang w:eastAsia="pt-BR"/>
        </w:rPr>
        <w:fldChar w:fldCharType="end"/>
      </w:r>
      <w:r w:rsidR="00931C90">
        <w:rPr>
          <w:bCs/>
          <w:color w:val="auto"/>
          <w:szCs w:val="24"/>
          <w:lang w:eastAsia="pt-BR"/>
        </w:rPr>
        <w:t>.</w:t>
      </w:r>
      <w:bookmarkEnd w:id="56"/>
      <w:bookmarkEnd w:id="57"/>
      <w:bookmarkEnd w:id="58"/>
    </w:p>
    <w:p w14:paraId="68F8A25F" w14:textId="0FA955AC"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59" w:name="_Toc462576799"/>
      <w:bookmarkStart w:id="60" w:name="_Toc462577948"/>
      <w:bookmarkStart w:id="61" w:name="_Toc462578582"/>
      <w:bookmarkStart w:id="62" w:name="_Toc462579045"/>
      <w:bookmarkStart w:id="63" w:name="_Toc462673433"/>
      <w:bookmarkStart w:id="64" w:name="_Toc462709757"/>
      <w:bookmarkStart w:id="65" w:name="_Toc462887946"/>
      <w:bookmarkStart w:id="66" w:name="_Toc462888040"/>
      <w:bookmarkStart w:id="67" w:name="_Toc462891321"/>
      <w:bookmarkStart w:id="68" w:name="_Toc478510874"/>
      <w:bookmarkStart w:id="69" w:name="_Toc479154470"/>
      <w:bookmarkStart w:id="70" w:name="_Toc479154817"/>
      <w:r w:rsidRPr="003516A7">
        <w:rPr>
          <w:bCs/>
          <w:color w:val="auto"/>
          <w:szCs w:val="24"/>
          <w:lang w:eastAsia="pt-BR"/>
        </w:rPr>
        <w:t>Estas encontram-se amplamente distribuídos pela natureza em</w:t>
      </w:r>
      <w:r w:rsidR="00DA0A89">
        <w:rPr>
          <w:bCs/>
          <w:color w:val="auto"/>
          <w:szCs w:val="24"/>
          <w:lang w:eastAsia="pt-BR"/>
        </w:rPr>
        <w:t xml:space="preserve"> </w:t>
      </w:r>
      <w:r w:rsidRPr="003516A7">
        <w:rPr>
          <w:bCs/>
          <w:color w:val="auto"/>
          <w:szCs w:val="24"/>
          <w:lang w:eastAsia="pt-BR"/>
        </w:rPr>
        <w:t xml:space="preserve">fruta, vegetais, sementes, casca de árvores, bem como em produtos derivados como vinho, cerveja, chá </w:t>
      </w:r>
      <w:r w:rsidRPr="003516A7">
        <w:rPr>
          <w:bCs/>
          <w:color w:val="auto"/>
          <w:szCs w:val="24"/>
          <w:lang w:eastAsia="pt-BR"/>
        </w:rPr>
        <w:fldChar w:fldCharType="begin" w:fldLock="1"/>
      </w:r>
      <w:r w:rsidR="002521DE">
        <w:rPr>
          <w:bCs/>
          <w:color w:val="auto"/>
          <w:szCs w:val="24"/>
          <w:lang w:eastAsia="pt-BR"/>
        </w:rPr>
        <w:instrText>ADDIN CSL_CITATION { "citationItems" : [ { "id" : "ITEM-1", "itemData" : { "author" : [ { "dropping-particle" : "", "family" : "Cohen", "given" : "Michael F.", "non-dropping-particle" : "", "parse-names" : false, "suffix" : "" }, { "dropping-particle" : "", "family" : "Sakihama", "given" : "Yasuko", "non-dropping-particle" : "", "parse-names" : false, "suffix" : "" }, { "dropping-particle" : "", "family" : "Yamasaki", "given" : "Hideo", "non-dropping-particle" : "", "parse-names" : false, "suffix" : "" } ], "container-title" : "Research Development plant physiology", "id" : "ITEM-1", "issued" : { "date-parts" : [ [ "2001" ] ] }, "page" : "157-173", "title" : "Roles of plant flavonoids in interactions with microtubes: from protection against pathogens to the mediation of mutualism", "type" : "article-journal", "volume" : "2" }, "uris" : [ "http://www.mendeley.com/documents/?uuid=13b546a4-4579-42b5-acc9-47cb7d63b6c0" ] }, { "id" : "ITEM-2", "itemData" : { "DOI" : "10.5935/1984-6835.20090024", "ISSN" : "1984-6835", "abstract" : "The inflammatory process, involved in several pathologies, is the natural response of the organism to an infection or to tissue injury. It comprises basically two defense mechanisms: an unspecific response (innate response), responsible for common characteristics of inflammation (redness, edema, a sense of heat, pain and loss of function) and an immunological response that involves the production of specific antibodies against an aggressor agent. The inflammatory response is not always sufficient and the process can progress to a state of chronic inflammation. Non-steroidal anti-inflammatory drugs (NSAIDs) are nowadays the main family of medicaments used to treat inflammation but they frequently show gastric and cardiovascular side effects. This situation is an incentive towards a search for new molecules for the treatment of inflammation. Many Brazilian plants are popularly used against inflammatory processes, and are therefore potential sources of new bioactive molecules. Among the different chemical classes of bioactive natural products, flavonoids - a group of polyphenolic compounds \u2013 show special promise. Flavonoids are widely distributed throughout the plant kingdom and are pharmacologically important, particularly for their action on inflammation and the immune system. In this paper different aspects of the inflammatory process and its treatment are described, with a special focus on the anti-inflammatory activity of flavonoids. A brief evaluation of the structure-activity relationship is presented.", "author" : [ { "dropping-particle" : "", "family" : "Coutinho, Marcela A. S.; Muzitano, Michele F.; Costa", "given" : "S\u00f4nia S.", "non-dropping-particle" : "", "parse-names" : false, "suffix" : "" } ], "container-title" : "Revista virtual de qu\u00edmica", "id" : "ITEM-2", "issue" : "3", "issued" : { "date-parts" : [ [ "2009" ] ] }, "page" : "241-256", "title" : "Flavonoids: Potential therapeutic agents for the inflammatory process", "type" : "article-journal", "volume" : "1" }, "uris" : [ "http://www.mendeley.com/documents/?uuid=7c81897b-6806-4e6f-aae4-551af89cd1ee" ] }, { "id" : "ITEM-3",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"ITEM-3", "issue" : "6", "issued" : { "date-parts" : [ [ "2002" ] ] }, "page" : "271-278", "title" : "Los flavonoides: Propiedades y acciones antioxidantes", "type" : "article-journal", "volume" : "17" }, "uris" : [ "http://www.mendeley.com/documents/?uuid=57b70ad3-d955-4ae5-85d4-a10686205332" ] } ], "mendeley" : { "formattedCitation" : "(Cohen et al., 2001; Coutinho, Marcela A. S.; Muzitano, Michele F.; Costa, 2009; Mart\u00ednez-Fl\u00f3rez et al., 2002)", "manualFormatting" : "(Cohen et al., 2001; Coutinho et al., 2009; Mart\u00ednez-Fl\u00f3rez et al., 2002)", "plainTextFormattedCitation" : "(Cohen et al., 2001; Coutinho, Marcela A. S.; Muzitano, Michele F.; Costa, 2009; Mart\u00ednez-Fl\u00f3rez et al., 2002)", "previouslyFormattedCitation" : "(Cohen et al., 2001; Coutinho, Marcela A. S.; Muzitano, Michele F.; Costa, 2009; Mart\u00ednez-Fl\u00f3rez et al., 2002)"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 xml:space="preserve">(Cohen et </w:t>
      </w:r>
      <w:r w:rsidR="00192038">
        <w:rPr>
          <w:bCs/>
          <w:noProof/>
          <w:color w:val="auto"/>
          <w:szCs w:val="24"/>
          <w:lang w:eastAsia="pt-BR"/>
        </w:rPr>
        <w:t>al., 2001; Coutinho</w:t>
      </w:r>
      <w:r w:rsidR="00DA0A89">
        <w:rPr>
          <w:bCs/>
          <w:noProof/>
          <w:color w:val="auto"/>
          <w:szCs w:val="24"/>
          <w:lang w:eastAsia="pt-BR"/>
        </w:rPr>
        <w:t xml:space="preserve"> </w:t>
      </w:r>
      <w:r w:rsidR="00192038">
        <w:rPr>
          <w:bCs/>
          <w:noProof/>
          <w:color w:val="auto"/>
          <w:szCs w:val="24"/>
          <w:lang w:eastAsia="pt-BR"/>
        </w:rPr>
        <w:t>et al.,</w:t>
      </w:r>
      <w:r w:rsidRPr="003516A7">
        <w:rPr>
          <w:bCs/>
          <w:noProof/>
          <w:color w:val="auto"/>
          <w:szCs w:val="24"/>
          <w:lang w:eastAsia="pt-BR"/>
        </w:rPr>
        <w:t xml:space="preserve"> 2009; Martínez-Flórez et al., 2002)</w:t>
      </w:r>
      <w:r w:rsidRPr="003516A7">
        <w:rPr>
          <w:bCs/>
          <w:color w:val="auto"/>
          <w:szCs w:val="24"/>
          <w:lang w:eastAsia="pt-BR"/>
        </w:rPr>
        <w:fldChar w:fldCharType="end"/>
      </w:r>
      <w:r w:rsidRPr="003516A7">
        <w:rPr>
          <w:bCs/>
          <w:color w:val="auto"/>
          <w:szCs w:val="24"/>
          <w:lang w:eastAsia="pt-BR"/>
        </w:rPr>
        <w:t>.</w:t>
      </w:r>
      <w:bookmarkEnd w:id="59"/>
      <w:bookmarkEnd w:id="60"/>
      <w:bookmarkEnd w:id="61"/>
      <w:bookmarkEnd w:id="62"/>
      <w:bookmarkEnd w:id="63"/>
      <w:bookmarkEnd w:id="64"/>
      <w:bookmarkEnd w:id="65"/>
      <w:bookmarkEnd w:id="66"/>
      <w:bookmarkEnd w:id="67"/>
      <w:bookmarkEnd w:id="68"/>
      <w:bookmarkEnd w:id="69"/>
      <w:bookmarkEnd w:id="70"/>
    </w:p>
    <w:p w14:paraId="257A082E" w14:textId="7BE3C027"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71" w:name="_Toc462576800"/>
      <w:bookmarkStart w:id="72" w:name="_Toc462576837"/>
      <w:bookmarkStart w:id="73" w:name="_Toc462577949"/>
      <w:bookmarkStart w:id="74" w:name="_Toc462578583"/>
      <w:bookmarkStart w:id="75" w:name="_Toc462579046"/>
      <w:bookmarkStart w:id="76" w:name="_Toc462673434"/>
      <w:bookmarkStart w:id="77" w:name="_Toc462709758"/>
      <w:bookmarkStart w:id="78" w:name="_Toc462887947"/>
      <w:bookmarkStart w:id="79" w:name="_Toc462888041"/>
      <w:bookmarkStart w:id="80" w:name="_Toc462891322"/>
      <w:bookmarkStart w:id="81" w:name="_Toc478510875"/>
      <w:bookmarkStart w:id="82" w:name="_Toc479154471"/>
      <w:bookmarkStart w:id="83" w:name="_Toc479154818"/>
      <w:r w:rsidRPr="003516A7">
        <w:rPr>
          <w:bCs/>
          <w:color w:val="auto"/>
          <w:szCs w:val="24"/>
          <w:lang w:eastAsia="pt-BR"/>
        </w:rPr>
        <w:t xml:space="preserve">Os flavonoides são pigmentos naturais </w:t>
      </w:r>
      <w:r w:rsidR="00DA0A89">
        <w:rPr>
          <w:bCs/>
          <w:color w:val="auto"/>
          <w:szCs w:val="24"/>
          <w:lang w:eastAsia="pt-BR"/>
        </w:rPr>
        <w:t>que podem contribuir</w:t>
      </w:r>
      <w:r w:rsidRPr="003516A7">
        <w:rPr>
          <w:bCs/>
          <w:color w:val="auto"/>
          <w:szCs w:val="24"/>
          <w:lang w:eastAsia="pt-BR"/>
        </w:rPr>
        <w:t xml:space="preserve"> para a coloração da planta atrav</w:t>
      </w:r>
      <w:r w:rsidR="00DA0A89">
        <w:rPr>
          <w:bCs/>
          <w:color w:val="auto"/>
          <w:szCs w:val="24"/>
          <w:lang w:eastAsia="pt-BR"/>
        </w:rPr>
        <w:t>és da clorofila e das antocianinas. As antocianinas</w:t>
      </w:r>
      <w:r w:rsidRPr="003516A7">
        <w:rPr>
          <w:bCs/>
          <w:color w:val="auto"/>
          <w:szCs w:val="24"/>
          <w:lang w:eastAsia="pt-BR"/>
        </w:rPr>
        <w:t xml:space="preserve"> apresentam a cor vermelha e azul, atraindo insetos polinizadores </w:t>
      </w:r>
      <w:r w:rsidRPr="003516A7">
        <w:rPr>
          <w:bCs/>
          <w:color w:val="auto"/>
          <w:szCs w:val="24"/>
          <w:lang w:eastAsia="pt-BR"/>
        </w:rPr>
        <w:fldChar w:fldCharType="begin" w:fldLock="1"/>
      </w:r>
      <w:r w:rsidR="00192038">
        <w:rPr>
          <w:bCs/>
          <w:color w:val="auto"/>
          <w:szCs w:val="24"/>
          <w:lang w:eastAsia="pt-BR"/>
        </w:rPr>
        <w:instrText>ADDIN CSL_CITATION { "citationItems" : [ { "id" : "ITEM-1", "itemData" : { "abstract" : "Entre os fitoter\u00e1picos atualmente estudados, os flavon\u00f3ides t\u00eam merecido destaque em virtude de sua ampla gama de a\u00e7\u00f5es terap\u00eauticas j\u00e1 demonstradas tanto experimentalmente quanto em humanos. Seu uso para tratamento de sintomas da menopausa tem levado ao consumo indiscriminado, por mulheres nessa faixa de idade e, al\u00e9m disso foram demonstrados efeitos antimicrobiano, antiviral, antiulcerog\u00eanico, antineopl\u00e1sico, antioxidante, antihepatot\u00f3xico, antihipertensivo, hipolipid\u00eamico, antiinflamat\u00f3rio, antiplaquet\u00e1rio. Dessa forma, pareceu importante apresentar informa\u00e7\u00f5es sobre os flavon\u00f3ides, abordando sua ocorr\u00eancia na natureza, estrutura qu\u00edmica, atividade biol\u00f3gica e mecanismo de a\u00e7\u00e3o.", "author" : [ { "dropping-particle" : "", "family" : "Machado", "given" : "Hussen", "non-dropping-particle" : "", "parse-names" : false, "suffix" : "" }, { "dropping-particle" : "", "family" : "Nagem", "given" : "Tanus", "non-dropping-particle" : "", "parse-names" : false, "suffix" : "" }, { "dropping-particle" : "", "family" : "Peters", "given" : "Vera", "non-dropping-particle" : "", "parse-names" : false, "suffix" : "" }, { "dropping-particle" : "", "family" : "Fonseca", "given" : "Cristiane", "non-dropping-particle" : "", "parse-names" : false, "suffix" : "" }, { "dropping-particle" : "", "family" : "Oliveira", "given" : "Tania", "non-dropping-particle" : "", "parse-names" : false, "suffix" : "" } ], "container-title" : "Boletim do Centro de Biologia da Reprodu\u00e7\u00e3o", "id" : "ITEM-1", "issue" : "1/2", "issued" : { "date-parts" : [ [ "2008" ] ] }, "page" : "33-39", "title" : "Flavon\u00f3ides e seu potencial terap\u00eautico", "type" : "article-journal", "volume" : "27" }, "uris" : [ "http://www.mendeley.com/documents/?uuid=3fcb900b-33d4-4486-beba-d44429a06a91" ] }, { "id" : "ITEM-2", "itemData" : { "author" : [ { "dropping-particle" : "", "family" : "Cohen", "given" : "Michael F.", "non-dropping-particle" : "", "parse-names" : false, "suffix" : "" }, { "dropping-particle" : "", "family" : "Sakihama", "given" : "Yasuko", "non-dropping-particle" : "", "parse-names" : false, "suffix" : "" }, { "dropping-particle" : "", "family" : "Yamasaki", "given" : "Hideo", "non-dropping-particle" : "", "parse-names" : false, "suffix" : "" } ], "container-title" : "Research Development plant physiology", "id" : "ITEM-2", "issued" : { "date-parts" : [ [ "2001" ] ] }, "page" : "157-173", "title" : "Roles of plant flavonoids in interactions with microtubes: from protection against pathogens to the mediation of mutualism", "type" : "article-journal", "volume" : "2" }, "uris" : [ "http://www.mendeley.com/documents/?uuid=13b546a4-4579-42b5-acc9-47cb7d63b6c0" ] } ], "mendeley" : { "formattedCitation" : "(Cohen et al., 2001; Machado, Nagem, Peters, Fonseca, &amp; Oliveira, 2008)", "manualFormatting" : "(Cohen et al., 2001; Machado et al., 2008)", "plainTextFormattedCitation" : "(Cohen et al., 2001; Machado, Nagem, Peters, Fonseca, &amp; Oliveira, 2008)", "previouslyFormattedCitation" : "(Cohen et al., 2001; Machado, Nagem, Peters, Fonseca, &amp; Oliveira, 2008)"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(Cohen</w:t>
      </w:r>
      <w:r w:rsidR="00192038">
        <w:rPr>
          <w:bCs/>
          <w:noProof/>
          <w:color w:val="auto"/>
          <w:szCs w:val="24"/>
          <w:lang w:eastAsia="pt-BR"/>
        </w:rPr>
        <w:t xml:space="preserve"> et al., 2001; Machado et al.</w:t>
      </w:r>
      <w:r w:rsidRPr="003516A7">
        <w:rPr>
          <w:bCs/>
          <w:noProof/>
          <w:color w:val="auto"/>
          <w:szCs w:val="24"/>
          <w:lang w:eastAsia="pt-BR"/>
        </w:rPr>
        <w:t>, 2008)</w:t>
      </w:r>
      <w:r w:rsidRPr="003516A7">
        <w:rPr>
          <w:bCs/>
          <w:color w:val="auto"/>
          <w:szCs w:val="24"/>
          <w:lang w:eastAsia="pt-BR"/>
        </w:rPr>
        <w:fldChar w:fldCharType="end"/>
      </w:r>
      <w:r w:rsidRPr="003516A7">
        <w:rPr>
          <w:bCs/>
          <w:color w:val="auto"/>
          <w:szCs w:val="24"/>
          <w:lang w:eastAsia="pt-BR"/>
        </w:rPr>
        <w:t xml:space="preserve">. Estes pigmentos são importantes na planta pois a protegem contra raios ultravioleta, contra produtos químicos usados em alimentos, controlam os níveis de regulação de crescimento e diferenciação de auxinas, proteção de microrganismos patogénicos, ação antioxidante, alelopática, inibição enzimática e características antifúngicas, antitumorais, antivirais, antinflamatórias, entre outras que lhe confere assim uma grande importância farmacológica </w:t>
      </w:r>
      <w:r w:rsidRPr="003516A7">
        <w:rPr>
          <w:bCs/>
          <w:color w:val="auto"/>
          <w:szCs w:val="24"/>
          <w:lang w:eastAsia="pt-BR"/>
        </w:rPr>
        <w:fldChar w:fldCharType="begin" w:fldLock="1"/>
      </w:r>
      <w:r w:rsidR="00DA0A89">
        <w:rPr>
          <w:bCs/>
          <w:color w:val="auto"/>
          <w:szCs w:val="24"/>
          <w:lang w:eastAsia="pt-BR"/>
        </w:rPr>
        <w:instrText>ADDIN CSL_CITATION { "citationItems" : [ { "id" : "ITEM-1", "itemData" : { "abstract" : "Entre os fitoter\u00e1picos atualmente estudados, os flavon\u00f3ides t\u00eam merecido destaque em virtude de sua ampla gama de a\u00e7\u00f5es terap\u00eauticas j\u00e1 demonstradas tanto experimentalmente quanto em humanos. Seu uso para tratamento de sintomas da menopausa tem levado ao consumo indiscriminado, por mulheres nessa faixa de idade e, al\u00e9m disso foram demonstrados efeitos antimicrobiano, antiviral, antiulcerog\u00eanico, antineopl\u00e1sico, antioxidante, antihepatot\u00f3xico, antihipertensivo, hipolipid\u00eamico, antiinflamat\u00f3rio, antiplaquet\u00e1rio. Dessa forma, pareceu importante apresentar informa\u00e7\u00f5es sobre os flavon\u00f3ides, abordando sua ocorr\u00eancia na natureza, estrutura qu\u00edmica, atividade biol\u00f3gica e mecanismo de a\u00e7\u00e3o.", "author" : [ { "dropping-particle" : "", "family" : "Machado", "given" : "Hussen", "non-dropping-particle" : "", "parse-names" : false, "suffix" : "" }, { "dropping-particle" : "", "family" : "Nagem", "given" : "Tanus", "non-dropping-particle" : "", "parse-names" : false, "suffix" : "" }, { "dropping-particle" : "", "family" : "Peters", "given" : "Vera", "non-dropping-particle" : "", "parse-names" : false, "suffix" : "" }, { "dropping-particle" : "", "family" : "Fonseca", "given" : "Cristiane", "non-dropping-particle" : "", "parse-names" : false, "suffix" : "" }, { "dropping-particle" : "", "family" : "Oliveira", "given" : "Tania", "non-dropping-particle" : "", "parse-names" : false, "suffix" : "" } ], "container-title" : "Boletim do Centro de Biologia da Reprodu\u00e7\u00e3o", "id" : "ITEM-1", "issue" : "1/2", "issued" : { "date-parts" : [ [ "2008" ] ] }, "page" : "33-39", "title" : "Flavon\u00f3ides e seu potencial terap\u00eautico", "type" : "article-journal", "volume" : "27" }, "uris" : [ "http://www.mendeley.com/documents/?uuid=3fcb900b-33d4-4486-beba-d44429a06a91" ] }, { "id" : "ITEM-2",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"ITEM-2", "issue" : "6", "issued" : { "date-parts" : [ [ "2002" ] ] }, "page" : "271-278", "title" : "Los flavonoides: Propiedades y acciones antioxidantes", "type" : "article-journal", "volume" : "17" }, "uris" : [ "http://www.mendeley.com/documents/?uuid=57b70ad3-d955-4ae5-85d4-a10686205332" ] }, { "id" : "ITEM-3", "itemData" : { "DOI" : "10.5935/1984-6835.20090024", "ISSN" : "1984-6835", "abstract" : "The inflammatory process, involved in several pathologies, is the natural response of the organism to an infection or to tissue injury. It comprises basically two defense mechanisms: an unspecific response (innate response), responsible for common characteristics of inflammation (redness, edema, a sense of heat, pain and loss of function) and an immunological response that involves the production of specific antibodies against an aggressor agent. The inflammatory response is not always sufficient and the process can progress to a state of chronic inflammation. Non-steroidal anti-inflammatory drugs (NSAIDs) are nowadays the main family of medicaments used to treat inflammation but they frequently show gastric and cardiovascular side effects. This situation is an incentive towards a search for new molecules for the treatment of inflammation. Many Brazilian plants are popularly used against inflammatory processes, and are therefore potential sources of new bioactive molecules. Among the different chemical classes of bioactive natural products, flavonoids - a group of polyphenolic compounds \u2013 show special promise. Flavonoids are widely distributed throughout the plant kingdom and are pharmacologically important, particularly for their action on inflammation and the immune system. In this paper different aspects of the inflammatory process and its treatment are described, with a special focus on the anti-inflammatory activity of flavonoids. A brief evaluation of the structure-activity relationship is presented.", "author" : [ { "dropping-particle" : "", "family" : "Coutinho, Marcela A. S.; Muzitano, Michele F.; Costa", "given" : "S\u00f4nia S.", "non-dropping-particle" : "", "parse-names" : false, "suffix" : "" } ], "container-title" : "Revista virtual de qu\u00edmica", "id" : "ITEM-3", "issue" : "3", "issued" : { "date-parts" : [ [ "2009" ] ] }, "page" : "241-256", "title" : "Flavonoids: Potential therapeutic agents for the inflammatory process", "type" : "article-journal", "volume" : "1" }, "uris" : [ "http://www.mendeley.com/documents/?uuid=7c81897b-6806-4e6f-aae4-551af89cd1ee" ] } ], "mendeley" : { "formattedCitation" : "(Coutinho, Marcela A. S.; Muzitano, Michele F.; Costa, 2009; Machado et al., 2008; Mart\u00ednez-Fl\u00f3rez et al., 2002)", "manualFormatting" : "(Coutinho et al., 2009; Machado et al., 2008; Mart\u00ednez-Fl\u00f3rez et al., 2002)", "plainTextFormattedCitation" : "(Coutinho, Marcela A. S.; Muzitano, Michele F.; Costa, 2009; Machado et al., 2008; Mart\u00ednez-Fl\u00f3rez et al., 2002)", "previouslyFormattedCitation" : "(Coutinho, Marcela A. S.; Muzitano, Michele F.; Costa, 2009; Machado et al., 2008; Mart\u00ednez-Fl\u00f3rez et al., 2002)" }, "properties" : { "noteIndex" : 0 }, "schema" : "https://github.com/citation-style-language/schema/raw/master/csl-citation.json" }</w:instrText>
      </w:r>
      <w:r w:rsidRPr="003516A7">
        <w:rPr>
          <w:bCs/>
          <w:color w:val="auto"/>
          <w:szCs w:val="24"/>
          <w:lang w:eastAsia="pt-BR"/>
        </w:rPr>
        <w:fldChar w:fldCharType="separate"/>
      </w:r>
      <w:r w:rsidR="00192038">
        <w:rPr>
          <w:bCs/>
          <w:noProof/>
          <w:color w:val="auto"/>
          <w:szCs w:val="24"/>
          <w:lang w:eastAsia="pt-BR"/>
        </w:rPr>
        <w:t>(Coutinho</w:t>
      </w:r>
      <w:r w:rsidR="00285E39">
        <w:rPr>
          <w:bCs/>
          <w:noProof/>
          <w:color w:val="auto"/>
          <w:szCs w:val="24"/>
          <w:lang w:eastAsia="pt-BR"/>
        </w:rPr>
        <w:t xml:space="preserve"> </w:t>
      </w:r>
      <w:r w:rsidR="00192038">
        <w:rPr>
          <w:bCs/>
          <w:noProof/>
          <w:color w:val="auto"/>
          <w:szCs w:val="24"/>
          <w:lang w:eastAsia="pt-BR"/>
        </w:rPr>
        <w:t xml:space="preserve">et al., </w:t>
      </w:r>
      <w:r w:rsidR="00192038" w:rsidRPr="00192038">
        <w:rPr>
          <w:bCs/>
          <w:noProof/>
          <w:color w:val="auto"/>
          <w:szCs w:val="24"/>
          <w:lang w:eastAsia="pt-BR"/>
        </w:rPr>
        <w:t>2009; Machado et al., 2008; Martínez-Flórez et al., 2002)</w:t>
      </w:r>
      <w:r w:rsidRPr="003516A7">
        <w:rPr>
          <w:bCs/>
          <w:color w:val="auto"/>
          <w:szCs w:val="24"/>
          <w:lang w:eastAsia="pt-BR"/>
        </w:rPr>
        <w:fldChar w:fldCharType="end"/>
      </w:r>
      <w:r w:rsidRPr="003516A7">
        <w:rPr>
          <w:bCs/>
          <w:color w:val="auto"/>
          <w:szCs w:val="24"/>
          <w:lang w:eastAsia="pt-BR"/>
        </w:rPr>
        <w:t>.</w:t>
      </w:r>
      <w:bookmarkEnd w:id="71"/>
      <w:bookmarkEnd w:id="72"/>
      <w:bookmarkEnd w:id="73"/>
      <w:bookmarkEnd w:id="74"/>
      <w:bookmarkEnd w:id="75"/>
      <w:bookmarkEnd w:id="76"/>
      <w:bookmarkEnd w:id="77"/>
      <w:bookmarkEnd w:id="78"/>
      <w:bookmarkEnd w:id="79"/>
      <w:bookmarkEnd w:id="80"/>
      <w:bookmarkEnd w:id="81"/>
      <w:bookmarkEnd w:id="82"/>
      <w:bookmarkEnd w:id="83"/>
    </w:p>
    <w:p w14:paraId="5598953E" w14:textId="01257AA4" w:rsidR="003516A7" w:rsidRPr="003516A7" w:rsidRDefault="007152EC" w:rsidP="003516A7">
      <w:pPr>
        <w:spacing w:before="100" w:beforeAutospacing="1" w:after="100" w:afterAutospacing="1" w:line="360" w:lineRule="auto"/>
        <w:ind w:left="0" w:right="0" w:firstLine="0"/>
        <w:outlineLvl w:val="1"/>
        <w:rPr>
          <w:bCs/>
          <w:color w:val="auto"/>
          <w:szCs w:val="24"/>
          <w:lang w:eastAsia="pt-BR"/>
        </w:rPr>
      </w:pPr>
      <w:bookmarkStart w:id="84" w:name="_Toc462887948"/>
      <w:bookmarkStart w:id="85" w:name="_Toc462888042"/>
      <w:bookmarkStart w:id="86" w:name="_Toc462891323"/>
      <w:bookmarkStart w:id="87" w:name="_Toc478510876"/>
      <w:bookmarkStart w:id="88" w:name="_Toc479154472"/>
      <w:bookmarkStart w:id="89" w:name="_Toc479154819"/>
      <w:r>
        <w:rPr>
          <w:bCs/>
          <w:color w:val="auto"/>
          <w:szCs w:val="24"/>
          <w:lang w:eastAsia="pt-BR"/>
        </w:rPr>
        <w:t>A atividade antioxidante</w:t>
      </w:r>
      <w:r w:rsidR="003516A7" w:rsidRPr="003516A7">
        <w:rPr>
          <w:bCs/>
          <w:color w:val="auto"/>
          <w:szCs w:val="24"/>
          <w:lang w:eastAsia="pt-BR"/>
        </w:rPr>
        <w:t xml:space="preserve"> está dependente da estrutura química apresentada</w:t>
      </w:r>
      <w:r w:rsidR="00DA0A89">
        <w:rPr>
          <w:bCs/>
          <w:color w:val="auto"/>
          <w:szCs w:val="24"/>
          <w:lang w:eastAsia="pt-BR"/>
        </w:rPr>
        <w:t>, das</w:t>
      </w:r>
      <w:r w:rsidR="003516A7" w:rsidRPr="003516A7">
        <w:rPr>
          <w:bCs/>
          <w:color w:val="auto"/>
          <w:szCs w:val="24"/>
          <w:lang w:eastAsia="pt-BR"/>
        </w:rPr>
        <w:t xml:space="preserve"> propriedades redox,</w:t>
      </w:r>
      <w:r w:rsidR="00DA0A89">
        <w:rPr>
          <w:bCs/>
          <w:color w:val="auto"/>
          <w:szCs w:val="24"/>
          <w:lang w:eastAsia="pt-BR"/>
        </w:rPr>
        <w:t xml:space="preserve"> do </w:t>
      </w:r>
      <w:proofErr w:type="gramStart"/>
      <w:r w:rsidR="00DA0A89">
        <w:rPr>
          <w:bCs/>
          <w:color w:val="auto"/>
          <w:szCs w:val="24"/>
          <w:lang w:eastAsia="pt-BR"/>
        </w:rPr>
        <w:t>numero</w:t>
      </w:r>
      <w:proofErr w:type="gramEnd"/>
      <w:r w:rsidR="003516A7" w:rsidRPr="003516A7">
        <w:rPr>
          <w:bCs/>
          <w:color w:val="auto"/>
          <w:szCs w:val="24"/>
          <w:lang w:eastAsia="pt-BR"/>
        </w:rPr>
        <w:t xml:space="preserve"> grupos hidroxilo, relação estrutural e </w:t>
      </w:r>
      <w:r w:rsidR="00DA0A89">
        <w:rPr>
          <w:bCs/>
          <w:color w:val="auto"/>
          <w:szCs w:val="24"/>
          <w:lang w:eastAsia="pt-BR"/>
        </w:rPr>
        <w:t xml:space="preserve">de </w:t>
      </w:r>
      <w:r w:rsidR="003516A7" w:rsidRPr="003516A7">
        <w:rPr>
          <w:bCs/>
          <w:color w:val="auto"/>
          <w:szCs w:val="24"/>
          <w:lang w:eastAsia="pt-BR"/>
        </w:rPr>
        <w:t>vários tipos de substituições e</w:t>
      </w:r>
      <w:r w:rsidR="003516A7">
        <w:rPr>
          <w:bCs/>
          <w:color w:val="auto"/>
          <w:szCs w:val="24"/>
          <w:lang w:eastAsia="pt-BR"/>
        </w:rPr>
        <w:t xml:space="preserve"> </w:t>
      </w:r>
      <w:r w:rsidR="002521DE">
        <w:rPr>
          <w:bCs/>
          <w:color w:val="auto"/>
          <w:szCs w:val="24"/>
          <w:lang w:eastAsia="pt-BR"/>
        </w:rPr>
        <w:t xml:space="preserve">posições dos substituintes nos átomos </w:t>
      </w:r>
      <w:r w:rsidR="003516A7" w:rsidRPr="003516A7">
        <w:rPr>
          <w:bCs/>
          <w:color w:val="auto"/>
          <w:szCs w:val="24"/>
          <w:lang w:eastAsia="pt-BR"/>
        </w:rPr>
        <w:t xml:space="preserve">carbonos </w:t>
      </w:r>
      <w:r w:rsidR="003516A7" w:rsidRPr="003516A7">
        <w:rPr>
          <w:bCs/>
          <w:color w:val="auto"/>
          <w:szCs w:val="24"/>
          <w:lang w:eastAsia="pt-BR"/>
        </w:rPr>
        <w:fldChar w:fldCharType="begin" w:fldLock="1"/>
      </w:r>
      <w:r w:rsidR="00170389">
        <w:rPr>
          <w:bCs/>
          <w:color w:val="auto"/>
          <w:szCs w:val="24"/>
          <w:lang w:eastAsia="pt-BR"/>
        </w:rPr>
        <w:instrText>ADDIN CSL_CITATION { "citationItems" : [ { "id" : "ITEM-1",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"ITEM-1", "issue" : "6", "issued" : { "date-parts" : [ [ "2002" ] ] }, "page" : "271-278", "title" : "Los flavonoides: Propiedades y acciones antioxidantes", "type" : "article-journal", "volume" : "17" }, "uris" : [ "http://www.mendeley.com/documents/?uuid=57b70ad3-d955-4ae5-85d4-a10686205332" ] }, { "id" : "ITEM-2", "itemData" : { "DOI" : "0.1016/S0955-2863(02)00208-5", "author" : [ { "dropping-particle" : "", "family" : "Heima", "given" : "Kelly E", "non-dropping-particle" : "", "parse-names" : false, "suffix" : "" }, { "dropping-particle" : "", "family" : "Tagliaferro", "given" : "Anthony R", "non-dropping-particle" : "", "parse-names" : false, "suffix" : "" }, { "dropping-particle" : "", "family" : "Bobilyaa", "given" : "Dennis J", "non-dropping-particle" : "", "parse-names" : false, "suffix" : "" } ], "container-title" : "The Journal of Nutritional Biochemistry", "id" : "ITEM-2", "issue" : "10", "issued" : { "date-parts" : [ [ "2002" ] ] }, "page" : "572-584", "title" : "Flavonoid antioxidants: chemistry, metabolism and structure-activity relationships", "type" : "article-journal", "volume" : "13" }, "uris" : [ "http://www.mendeley.com/documents/?uuid=dcf442be-37e6-4497-bd50-70a018eccd71" ] }, { "id" : "ITEM-3", "itemData" : { "DOI" : "10.1016/S0955-2863(95)00168-9", "author" : [ { "dropping-particle" : "", "family" : "Cook", "given" : "N.C.", "non-dropping-particle" : "", "parse-names" : false, "suffix" : "" }, { "dropping-particle" : "", "family" : "Samman", "given" : "S.", "non-dropping-particle" : "", "parse-names" : false, "suffix" : "" } ], "container-title" : "The Journal of Nutritional Biochemistry", "id" : "ITEM-3", "issue" : "2", "issued" : { "date-parts" : [ [ "1996" ] ] }, "page" : "66-76", "title" : "Flavonoids\u2014Chemistry, metabolism, cardioprotective effects, and dietary sources", "type" : "article-journal", "volume" : "7" }, "uris" : [ "http://www.mendeley.com/documents/?uuid=6e7043d0-441f-407f-977b-f9ecc4c5f4d7" ] } ], "mendeley" : { "formattedCitation" : "(Cook &amp; Samman, 1996; Heima, Tagliaferro, &amp; Bobilyaa, 2002; Mart\u00ednez-Fl\u00f3rez et al., 2002)", "manualFormatting" : "(Cook &amp; Samman, 1996; Heima et al., 2002; Mart\u00ednez-Fl\u00f3rez et al., 2002)", "plainTextFormattedCitation" : "(Cook &amp; Samman, 1996; Heima, Tagliaferro, &amp; Bobilyaa, 2002; Mart\u00ednez-Fl\u00f3rez et al., 2002)", "previouslyFormattedCitation" : "(Cook &amp; Samman, 1996; Heima, Tagliaferro, &amp; Bobilyaa, 2002; Mart\u00ednez-Fl\u00f3rez et al., 2002)" }, "properties" : { "noteIndex" : 0 }, "schema" : "https://github.com/citation-style-language/schema/raw/master/csl-citation.json" }</w:instrText>
      </w:r>
      <w:r w:rsidR="003516A7" w:rsidRPr="003516A7">
        <w:rPr>
          <w:bCs/>
          <w:color w:val="auto"/>
          <w:szCs w:val="24"/>
          <w:lang w:eastAsia="pt-BR"/>
        </w:rPr>
        <w:fldChar w:fldCharType="separate"/>
      </w:r>
      <w:r w:rsidR="003516A7" w:rsidRPr="003516A7">
        <w:rPr>
          <w:bCs/>
          <w:noProof/>
          <w:color w:val="auto"/>
          <w:szCs w:val="24"/>
          <w:lang w:eastAsia="pt-BR"/>
        </w:rPr>
        <w:t>(Cook &amp; Samman, 1996</w:t>
      </w:r>
      <w:r>
        <w:rPr>
          <w:bCs/>
          <w:noProof/>
          <w:color w:val="auto"/>
          <w:szCs w:val="24"/>
          <w:lang w:eastAsia="pt-BR"/>
        </w:rPr>
        <w:t>; Heima et al.</w:t>
      </w:r>
      <w:r w:rsidR="003516A7" w:rsidRPr="003516A7">
        <w:rPr>
          <w:bCs/>
          <w:noProof/>
          <w:color w:val="auto"/>
          <w:szCs w:val="24"/>
          <w:lang w:eastAsia="pt-BR"/>
        </w:rPr>
        <w:t>, 2002; Martínez-Flórez et al., 2002)</w:t>
      </w:r>
      <w:r w:rsidR="003516A7" w:rsidRPr="003516A7">
        <w:rPr>
          <w:bCs/>
          <w:color w:val="auto"/>
          <w:szCs w:val="24"/>
          <w:lang w:eastAsia="pt-BR"/>
        </w:rPr>
        <w:fldChar w:fldCharType="end"/>
      </w:r>
      <w:r w:rsidR="003516A7" w:rsidRPr="003516A7">
        <w:rPr>
          <w:bCs/>
          <w:color w:val="auto"/>
          <w:szCs w:val="24"/>
          <w:lang w:eastAsia="pt-BR"/>
        </w:rPr>
        <w:t>.</w:t>
      </w:r>
      <w:bookmarkEnd w:id="84"/>
      <w:bookmarkEnd w:id="85"/>
      <w:bookmarkEnd w:id="86"/>
      <w:bookmarkEnd w:id="87"/>
      <w:bookmarkEnd w:id="88"/>
      <w:bookmarkEnd w:id="89"/>
    </w:p>
    <w:p w14:paraId="59A23EC4" w14:textId="2E02B05F" w:rsidR="003516A7" w:rsidRPr="00882CE6" w:rsidRDefault="003516A7" w:rsidP="003516A7">
      <w:pPr>
        <w:spacing w:before="100" w:beforeAutospacing="1" w:after="100" w:afterAutospacing="1" w:line="360" w:lineRule="auto"/>
        <w:ind w:left="0" w:right="0" w:firstLine="0"/>
        <w:outlineLvl w:val="1"/>
        <w:rPr>
          <w:bCs/>
          <w:color w:val="auto"/>
          <w:szCs w:val="24"/>
          <w:lang w:val="en-US" w:eastAsia="pt-BR"/>
        </w:rPr>
      </w:pPr>
      <w:bookmarkStart w:id="90" w:name="_Toc462576802"/>
      <w:bookmarkStart w:id="91" w:name="_Toc462576839"/>
      <w:bookmarkStart w:id="92" w:name="_Toc462577951"/>
      <w:bookmarkStart w:id="93" w:name="_Toc462578585"/>
      <w:bookmarkStart w:id="94" w:name="_Toc462579048"/>
      <w:bookmarkStart w:id="95" w:name="_Toc462673436"/>
      <w:bookmarkStart w:id="96" w:name="_Toc462709760"/>
      <w:bookmarkStart w:id="97" w:name="_Toc462887949"/>
      <w:bookmarkStart w:id="98" w:name="_Toc462888043"/>
      <w:bookmarkStart w:id="99" w:name="_Toc462891324"/>
      <w:bookmarkStart w:id="100" w:name="_Toc478510877"/>
      <w:bookmarkStart w:id="101" w:name="_Toc479154473"/>
      <w:bookmarkStart w:id="102" w:name="_Toc479154820"/>
      <w:r w:rsidRPr="003516A7">
        <w:rPr>
          <w:bCs/>
          <w:color w:val="auto"/>
          <w:szCs w:val="24"/>
          <w:lang w:eastAsia="pt-BR"/>
        </w:rPr>
        <w:lastRenderedPageBreak/>
        <w:t>Tendo um número variável de grupos hidroxilo, estes obtêm excelentes propriedades de quel</w:t>
      </w:r>
      <w:r w:rsidR="002521DE">
        <w:rPr>
          <w:bCs/>
          <w:color w:val="auto"/>
          <w:szCs w:val="24"/>
          <w:lang w:eastAsia="pt-BR"/>
        </w:rPr>
        <w:t>ação de ferro e outros metais de</w:t>
      </w:r>
      <w:r w:rsidRPr="003516A7">
        <w:rPr>
          <w:bCs/>
          <w:color w:val="auto"/>
          <w:szCs w:val="24"/>
          <w:lang w:eastAsia="pt-BR"/>
        </w:rPr>
        <w:t xml:space="preserve"> transição, que inibem a peroxidação lípida e propriedades de óxido-redução que desempenham o papel de absorção e neutralização de radicais livres </w:t>
      </w:r>
      <w:r w:rsidRPr="003516A7">
        <w:rPr>
          <w:bCs/>
          <w:color w:val="auto"/>
          <w:szCs w:val="24"/>
          <w:lang w:eastAsia="pt-BR"/>
        </w:rPr>
        <w:fldChar w:fldCharType="begin" w:fldLock="1"/>
      </w:r>
      <w:r w:rsidR="00476330">
        <w:rPr>
          <w:bCs/>
          <w:color w:val="auto"/>
          <w:szCs w:val="24"/>
          <w:lang w:eastAsia="pt-BR"/>
        </w:rPr>
        <w:instrText>ADDIN CSL_CITATION { "citationItems" : [ { "id" : "ITEM-1", "itemData" : { "abstract" : "Entre os fitoter\u00e1picos atualmente estudados, os flavon\u00f3ides t\u00eam merecido destaque em virtude de sua ampla gama de a\u00e7\u00f5es terap\u00eauticas j\u00e1 demonstradas tanto experimentalmente quanto em humanos. Seu uso para tratamento de sintomas da menopausa tem levado ao consumo indiscriminado, por mulheres nessa faixa de idade e, al\u00e9m disso foram demonstrados efeitos antimicrobiano, antiviral, antiulcerog\u00eanico, antineopl\u00e1sico, antioxidante, antihepatot\u00f3xico, antihipertensivo, hipolipid\u00eamico, antiinflamat\u00f3rio, antiplaquet\u00e1rio. Dessa forma, pareceu importante apresentar informa\u00e7\u00f5es sobre os flavon\u00f3ides, abordando sua ocorr\u00eancia na natureza, estrutura qu\u00edmica, atividade biol\u00f3gica e mecanismo de a\u00e7\u00e3o.", "author" : [ { "dropping-particle" : "", "family" : "Machado", "given" : "Hussen", "non-dropping-particle" : "", "parse-names" : false, "suffix" : "" }, { "dropping-particle" : "", "family" : "Nagem", "given" : "Tanus", "non-dropping-particle" : "", "parse-names" : false, "suffix" : "" }, { "dropping-particle" : "", "family" : "Peters", "given" : "Vera", "non-dropping-particle" : "", "parse-names" : false, "suffix" : "" }, { "dropping-particle" : "", "family" : "Fonseca", "given" : "Cristiane", "non-dropping-particle" : "", "parse-names" : false, "suffix" : "" }, { "dropping-particle" : "", "family" : "Oliveira", "given" : "Tania", "non-dropping-particle" : "", "parse-names" : false, "suffix" : "" } ], "container-title" : "Boletim do Centro de Biologia da Reprodu\u00e7\u00e3o", "id" : "ITEM-1", "issue" : "1/2", "issued" : { "date-parts" : [ [ "2008" ] ] }, "page" : "33-39", "title" : "Flavon\u00f3ides e seu potencial terap\u00eautico", "type" : "article-journal", "volume" : "27" }, "uris" : [ "http://www.mendeley.com/documents/?uuid=3fcb900b-33d4-4486-beba-d44429a06a91" ] }, { "id" : "ITEM-2",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"ITEM-2", "issue" : "6", "issued" : { "date-parts" : [ [ "2002" ] ] }, "page" : "271-278", "title" : "Los flavonoides: Propiedades y acciones antioxidantes", "type" : "article-journal", "volume" : "17" }, "uris" : [ "http://www.mendeley.com/documents/?uuid=57b70ad3-d955-4ae5-85d4-a10686205332" ] }, { "id" : "ITEM-3", "itemData" : { "DOI" : "10.1016/0076-6879(90)86128-I", "author" : [ { "dropping-particle" : "", "family" : "Bors", "given" : "Wolf", "non-dropping-particle" : "", "parse-names" : false, "suffix" : "" }, { "dropping-particle" : "", "family" : "Heller", "given" : "Werner", "non-dropping-particle" : "", "parse-names" : false, "suffix" : "" }, { "dropping-particle" : "", "family" : "Michel", "given" : "Christa", "non-dropping-particle" : "", "parse-names" : false, "suffix" : "" }, { "dropping-particle" : "", "family" : "Saran", "given" : "Manfred", "non-dropping-particle" : "", "parse-names" : false, "suffix" : "" } ], "container-title" : "Methods in Enzymology", "id" : "ITEM-3", "issued" : { "date-parts" : [ [ "1990" ] ] }, "page" : "343-355", "title" : "Flavonoids as antioxidants: Determination of radical-scavenging efficiencies", "type" : "article-journal", "volume" : "186" }, "uris" : [ "http://www.mendeley.com/documents/?uuid=d10735b4-b1a3-4a65-9dff-79680e0f25</w:instrText>
      </w:r>
      <w:r w:rsidR="00476330" w:rsidRPr="00882CE6">
        <w:rPr>
          <w:bCs/>
          <w:color w:val="auto"/>
          <w:szCs w:val="24"/>
          <w:lang w:val="en-US" w:eastAsia="pt-BR"/>
        </w:rPr>
        <w:instrText>6a" ] }, { "id" : "ITEM-4", "itemData" : { "DOI" : "10.1016/S0955-2863(95)00168-9", "author" : [ { "dropping-particle" : "", "family" : "Cook", "given" : "N.C.", "non-dropping-particle" : "", "parse-names" : false, "suffix" : "" }, { "dropping-particle" : "", "family" : "Samman", "given" : "S.", "non-dropping-particle" : "", "parse-names" : false, "suffix" : "" } ], "container-title" : "The Journal of Nutritional Biochemistry", "id" : "ITEM-4", "issue" : "2", "issued" : { "date-parts" : [ [ "1996" ] ] }, "page" : "66-76", "title" : "Flavonoids\u2014Chemistry, metabolism, cardioprotective effects, and dietary sources", "type" : "article-journal", "volume" : "7" }, "uris" : [ "http://www.mendeley.com/documents/?uuid=6e7043d0-441f-407f-977b-f9ecc4c5f4d7" ] } ], "mendeley" : { "formattedCitation" : "(Bors, Heller, Michel, &amp; Saran, 1990; Cook &amp; Samman, 1996; Machado et al., 2008; Mart\u00ednez-Fl\u00f3rez et al., 2002)", "manualFormatting" : "(Bors et al., 1990; Cook &amp; Samman, 1996; Machado et al., 2008; Mart\u00ednez-Fl\u00f3rez et al., 2002)", "plainTextFormattedCitation" : "(Bors, Heller, Michel, &amp; Saran, 1990; Cook &amp; Samman, 1996; Machado et al., 2008; Mart\u00ednez-Fl\u00f3rez et al., 2002)", "previouslyFormattedCitation" : "(Bors, Heller, Michel, &amp; Saran, 1990; Cook &amp; Samman, 1996; Machado et al., 2008; Mart\u00ednez-Fl\u00f3rez et al., 2002)" }, "properties" : { "noteIndex" : 0 }, "schema" : "https://github.com/citation-style-language/schema/raw/master/csl-citation.json" }</w:instrText>
      </w:r>
      <w:r w:rsidRPr="003516A7">
        <w:rPr>
          <w:bCs/>
          <w:color w:val="auto"/>
          <w:szCs w:val="24"/>
          <w:lang w:eastAsia="pt-BR"/>
        </w:rPr>
        <w:fldChar w:fldCharType="separate"/>
      </w:r>
      <w:r w:rsidR="007152EC" w:rsidRPr="00882CE6">
        <w:rPr>
          <w:bCs/>
          <w:noProof/>
          <w:color w:val="auto"/>
          <w:szCs w:val="24"/>
          <w:lang w:val="en-US" w:eastAsia="pt-BR"/>
        </w:rPr>
        <w:t>(Bors et al.</w:t>
      </w:r>
      <w:r w:rsidRPr="00882CE6">
        <w:rPr>
          <w:bCs/>
          <w:noProof/>
          <w:color w:val="auto"/>
          <w:szCs w:val="24"/>
          <w:lang w:val="en-US" w:eastAsia="pt-BR"/>
        </w:rPr>
        <w:t>, 1990</w:t>
      </w:r>
      <w:r w:rsidR="00476330" w:rsidRPr="00882CE6">
        <w:rPr>
          <w:bCs/>
          <w:noProof/>
          <w:color w:val="auto"/>
          <w:szCs w:val="24"/>
          <w:lang w:val="en-US" w:eastAsia="pt-BR"/>
        </w:rPr>
        <w:t>; Cook &amp; Samman, 1996; Machado et al.</w:t>
      </w:r>
      <w:r w:rsidRPr="00882CE6">
        <w:rPr>
          <w:bCs/>
          <w:noProof/>
          <w:color w:val="auto"/>
          <w:szCs w:val="24"/>
          <w:lang w:val="en-US" w:eastAsia="pt-BR"/>
        </w:rPr>
        <w:t>, 2008; Martínez-Flórez et al., 2002)</w:t>
      </w:r>
      <w:r w:rsidRPr="003516A7">
        <w:rPr>
          <w:bCs/>
          <w:color w:val="auto"/>
          <w:szCs w:val="24"/>
          <w:lang w:eastAsia="pt-BR"/>
        </w:rPr>
        <w:fldChar w:fldCharType="end"/>
      </w:r>
      <w:r w:rsidRPr="00882CE6">
        <w:rPr>
          <w:bCs/>
          <w:color w:val="auto"/>
          <w:szCs w:val="24"/>
          <w:lang w:val="en-US" w:eastAsia="pt-BR"/>
        </w:rPr>
        <w:t>.</w:t>
      </w:r>
      <w:bookmarkEnd w:id="90"/>
      <w:bookmarkEnd w:id="91"/>
      <w:bookmarkEnd w:id="92"/>
      <w:bookmarkEnd w:id="93"/>
      <w:bookmarkEnd w:id="94"/>
      <w:bookmarkEnd w:id="95"/>
      <w:bookmarkEnd w:id="96"/>
      <w:bookmarkEnd w:id="97"/>
      <w:bookmarkEnd w:id="98"/>
      <w:bookmarkEnd w:id="99"/>
      <w:bookmarkEnd w:id="100"/>
      <w:bookmarkEnd w:id="101"/>
      <w:bookmarkEnd w:id="102"/>
    </w:p>
    <w:p w14:paraId="404EDDD7" w14:textId="77777777"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03" w:name="_Toc462576803"/>
      <w:bookmarkStart w:id="104" w:name="_Toc462576840"/>
      <w:bookmarkStart w:id="105" w:name="_Toc462577952"/>
      <w:bookmarkStart w:id="106" w:name="_Toc462578586"/>
      <w:bookmarkStart w:id="107" w:name="_Toc462579049"/>
      <w:bookmarkStart w:id="108" w:name="_Toc462709761"/>
      <w:bookmarkStart w:id="109" w:name="_Toc462887950"/>
      <w:bookmarkStart w:id="110" w:name="_Toc462888044"/>
      <w:bookmarkStart w:id="111" w:name="_Toc462891325"/>
      <w:bookmarkStart w:id="112" w:name="_Toc478510878"/>
      <w:bookmarkStart w:id="113" w:name="_Toc479154474"/>
      <w:bookmarkStart w:id="114" w:name="_Toc479154821"/>
      <w:r w:rsidRPr="003516A7">
        <w:rPr>
          <w:bCs/>
          <w:color w:val="auto"/>
          <w:szCs w:val="24"/>
          <w:lang w:eastAsia="pt-BR"/>
        </w:rPr>
        <w:t>Quimicamente, os flavonoides e isoflavonoides tem um grande potencial de ação an</w:t>
      </w:r>
      <w:r w:rsidR="00AF1AF1">
        <w:rPr>
          <w:bCs/>
          <w:color w:val="auto"/>
          <w:szCs w:val="24"/>
          <w:lang w:eastAsia="pt-BR"/>
        </w:rPr>
        <w:t>tioxidante reagindo e inativando</w:t>
      </w:r>
      <w:r w:rsidRPr="003516A7">
        <w:rPr>
          <w:bCs/>
          <w:color w:val="auto"/>
          <w:szCs w:val="24"/>
          <w:lang w:eastAsia="pt-BR"/>
        </w:rPr>
        <w:t xml:space="preserve"> o anião superóxido, oxigénio singleto, peróxido e </w:t>
      </w:r>
      <w:r w:rsidR="0051743A">
        <w:rPr>
          <w:bCs/>
          <w:color w:val="auto"/>
          <w:szCs w:val="24"/>
          <w:lang w:eastAsia="pt-BR"/>
        </w:rPr>
        <w:t xml:space="preserve">ainda </w:t>
      </w:r>
      <w:r w:rsidRPr="003516A7">
        <w:rPr>
          <w:bCs/>
          <w:color w:val="auto"/>
          <w:szCs w:val="24"/>
          <w:lang w:eastAsia="pt-BR"/>
        </w:rPr>
        <w:t xml:space="preserve">estabilizam radicais livres envolvidos em processos oxidativos através de hidrogenação ou complexação de espécies oxidantes </w:t>
      </w:r>
      <w:r w:rsidRPr="003516A7">
        <w:rPr>
          <w:bCs/>
          <w:color w:val="auto"/>
          <w:szCs w:val="24"/>
          <w:lang w:eastAsia="pt-BR"/>
        </w:rPr>
        <w:fldChar w:fldCharType="begin" w:fldLock="1"/>
      </w:r>
      <w:r w:rsidR="00192038">
        <w:rPr>
          <w:bCs/>
          <w:color w:val="auto"/>
          <w:szCs w:val="24"/>
          <w:lang w:eastAsia="pt-BR"/>
        </w:rPr>
        <w:instrText>ADDIN CSL_CITATION { "citationItems" : [ { "id" : "ITEM-1", "itemData" : { "abstract" : "Entre os fitoter\u00e1picos atualmente estudados, os flavon\u00f3ides t\u00eam merecido destaque em virtude de sua ampla gama de a\u00e7\u00f5es terap\u00eauticas j\u00e1 demonstradas tanto experimentalmente quanto em humanos. Seu uso para tratamento de sintomas da menopausa tem levado ao consumo indiscriminado, por mulheres nessa faixa de idade e, al\u00e9m disso foram demonstrados efeitos antimicrobiano, antiviral, antiulcerog\u00eanico, antineopl\u00e1sico, antioxidante, antihepatot\u00f3xico, antihipertensivo, hipolipid\u00eamico, antiinflamat\u00f3rio, antiplaquet\u00e1rio. Dessa forma, pareceu importante apresentar informa\u00e7\u00f5es sobre os flavon\u00f3ides, abordando sua ocorr\u00eancia na natureza, estrutura qu\u00edmica, atividade biol\u00f3gica e mecanismo de a\u00e7\u00e3o.", "author" : [ { "dropping-particle" : "", "family" : "Machado", "given" : "Hussen", "non-dropping-particle" : "", "parse-names" : false, "suffix" : "" }, { "dropping-particle" : "", "family" : "Nagem", "given" : "Tanus", "non-dropping-particle" : "", "parse-names" : false, "suffix" : "" }, { "dropping-particle" : "", "family" : "Peters", "given" : "Vera", "non-dropping-particle" : "", "parse-names" : false, "suffix" : "" }, { "dropping-particle" : "", "family" : "Fonseca", "given" : "Cristiane", "non-dropping-particle" : "", "parse-names" : false, "suffix" : "" }, { "dropping-particle" : "", "family" : "Oliveira", "given" : "Tania", "non-dropping-particle" : "", "parse-names" : false, "suffix" : "" } ], "container-title" : "Boletim do Centro de Biologia da Reprodu\u00e7\u00e3o", "id" : "ITEM-1", "issue" : "1/2", "issued" : { "date-parts" : [ [ "2008" ] ] }, "page" : "33-39", "title" : "Flavon\u00f3ides e seu potencial terap\u00eautico", "type" : "article-journal", "volume" : "27" }, "uris" : [ "http://www.mendeley.com/documents/?uuid=3fcb900b-33d4-4486-beba-d44429a06a91" ] } ], "mendeley" : { "formattedCitation" : "(Machado et al., 2008)", "plainTextFormattedCitation" : "(Machado et al., 2008)", "previouslyFormattedCitation" : "(Machado et al., 2008)" }, "properties" : { "noteIndex" : 0 }, "schema" : "https://github.com/citation-style-language/schema/raw/master/csl-citation.json" }</w:instrText>
      </w:r>
      <w:r w:rsidRPr="003516A7">
        <w:rPr>
          <w:bCs/>
          <w:color w:val="auto"/>
          <w:szCs w:val="24"/>
          <w:lang w:eastAsia="pt-BR"/>
        </w:rPr>
        <w:fldChar w:fldCharType="separate"/>
      </w:r>
      <w:r w:rsidR="00192038" w:rsidRPr="00192038">
        <w:rPr>
          <w:bCs/>
          <w:noProof/>
          <w:color w:val="auto"/>
          <w:szCs w:val="24"/>
          <w:lang w:eastAsia="pt-BR"/>
        </w:rPr>
        <w:t>(Machado et al., 2008)</w:t>
      </w:r>
      <w:r w:rsidRPr="003516A7">
        <w:rPr>
          <w:bCs/>
          <w:color w:val="auto"/>
          <w:szCs w:val="24"/>
          <w:lang w:eastAsia="pt-BR"/>
        </w:rPr>
        <w:fldChar w:fldCharType="end"/>
      </w:r>
      <w:r w:rsidRPr="003516A7">
        <w:rPr>
          <w:bCs/>
          <w:color w:val="auto"/>
          <w:szCs w:val="24"/>
          <w:lang w:eastAsia="pt-BR"/>
        </w:rPr>
        <w:t xml:space="preserve">. Sendo principalmente efetuada a eliminação do superóxido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"DOI" : "10.1016/0006-2952(88)90169-4", "author" : [ { "dropping-particle" : "", "family" : "Robak", "given" : "Jadwiga", "non-dropping-particle" : "", "parse-names" : false, "suffix" : "" }, { "dropping-particle" : "", "family" : "Gryglewski", "given" : "Ryszard J.", "non-dropping-particle" : "", "parse-names" : false, "suffix" : "" } ], "container-title" : "Biochemical Pharmacology", "id" : "ITEM-1", "issue" : "5", "issued" : { "date-parts" : [ [ "1988" ] ] }, "page" : "837-841", "title" : "Flavonoids are scavengers of superoxide anions", "type" : "article-journal", "volume" : "37" }, "uris" : [ "http://www.mendeley.com/documents/?uuid=dba0fc25-b6a0-4d4e-87d6-36386d6f1c3f" ] } ], "mendeley" : { "formattedCitation" : "(Robak &amp; Gryglewski, 1988)", "plainTextFormattedCitation" : "(Robak &amp; Gryglewski, 1988)", "previouslyFormattedCitation" : "(Robak &amp; Gryglewski, 1988)"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(Robak &amp; Gryglewski, 1988)</w:t>
      </w:r>
      <w:r w:rsidRPr="003516A7">
        <w:rPr>
          <w:bCs/>
          <w:color w:val="auto"/>
          <w:szCs w:val="24"/>
          <w:lang w:eastAsia="pt-BR"/>
        </w:rPr>
        <w:fldChar w:fldCharType="end"/>
      </w:r>
      <w:r w:rsidRPr="003516A7">
        <w:rPr>
          <w:bCs/>
          <w:color w:val="auto"/>
          <w:szCs w:val="24"/>
          <w:lang w:eastAsia="pt-BR"/>
        </w:rPr>
        <w:t>.</w:t>
      </w:r>
      <w:bookmarkEnd w:id="103"/>
      <w:bookmarkEnd w:id="104"/>
      <w:bookmarkEnd w:id="105"/>
      <w:bookmarkEnd w:id="106"/>
      <w:bookmarkEnd w:id="107"/>
      <w:bookmarkEnd w:id="108"/>
      <w:bookmarkEnd w:id="109"/>
      <w:bookmarkEnd w:id="110"/>
      <w:bookmarkEnd w:id="111"/>
      <w:bookmarkEnd w:id="112"/>
      <w:bookmarkEnd w:id="113"/>
      <w:bookmarkEnd w:id="114"/>
    </w:p>
    <w:p w14:paraId="2CA14584" w14:textId="77777777" w:rsid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15" w:name="_Toc462576804"/>
      <w:bookmarkStart w:id="116" w:name="_Toc462576841"/>
      <w:bookmarkStart w:id="117" w:name="_Toc462577953"/>
      <w:bookmarkStart w:id="118" w:name="_Toc462578587"/>
      <w:bookmarkStart w:id="119" w:name="_Toc462579050"/>
      <w:bookmarkStart w:id="120" w:name="_Toc462673438"/>
      <w:bookmarkStart w:id="121" w:name="_Toc462709762"/>
      <w:bookmarkStart w:id="122" w:name="_Toc462887951"/>
      <w:bookmarkStart w:id="123" w:name="_Toc462888045"/>
      <w:bookmarkStart w:id="124" w:name="_Toc462891326"/>
      <w:bookmarkStart w:id="125" w:name="_Toc478510879"/>
      <w:bookmarkStart w:id="126" w:name="_Toc479154475"/>
      <w:bookmarkStart w:id="127" w:name="_Toc479154822"/>
      <w:r w:rsidRPr="003516A7">
        <w:rPr>
          <w:bCs/>
          <w:color w:val="auto"/>
          <w:szCs w:val="24"/>
          <w:lang w:eastAsia="pt-BR"/>
        </w:rPr>
        <w:t>O ser humano não consegue produzir este composto que traz vários tipos de benefícios ao nosso organismo. Caso não sejam ingeridos na dieta humana através de alimentos podem ser obtidos a partir de suplementos alimentares. Estes devem ter uma ingestão média de 23</w:t>
      </w:r>
      <w:r w:rsidR="00E668FB">
        <w:rPr>
          <w:bCs/>
          <w:color w:val="auto"/>
          <w:szCs w:val="24"/>
          <w:lang w:eastAsia="pt-BR"/>
        </w:rPr>
        <w:t xml:space="preserve"> </w:t>
      </w:r>
      <w:r w:rsidRPr="003516A7">
        <w:rPr>
          <w:bCs/>
          <w:color w:val="auto"/>
          <w:szCs w:val="24"/>
          <w:lang w:eastAsia="pt-BR"/>
        </w:rPr>
        <w:t>mg/dia onde a quercetina predomina com 16</w:t>
      </w:r>
      <w:r w:rsidR="00E668FB">
        <w:rPr>
          <w:bCs/>
          <w:color w:val="auto"/>
          <w:szCs w:val="24"/>
          <w:lang w:eastAsia="pt-BR"/>
        </w:rPr>
        <w:t xml:space="preserve"> </w:t>
      </w:r>
      <w:r w:rsidRPr="003516A7">
        <w:rPr>
          <w:bCs/>
          <w:color w:val="auto"/>
          <w:szCs w:val="24"/>
          <w:lang w:eastAsia="pt-BR"/>
        </w:rPr>
        <w:t xml:space="preserve">mg/dia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"DOI" : "10.3305/nutr hosp.v17in06.3338", "ISBN" : "0212-1611", "ISSN" : "02121611", "abstract" : "Los flavonoides son compuestos fen\u00f3licos constituyentes de la parte no energ\u00e9tica de la dieta humana. Se encuentran en vegetales, semillas, frutas y en bebidas como vino y cerveza. Se han identificado m\u00e1s de 5.000 flavonoides diferentes. Aunque los h\u00e1bitos alimenticios son muy diversos en el mundo, el valor medio de ingesta de flavonoides se estima como 23 mg/d\u00eda, siendo la quercitina el predominante con un valor medio de 16 mg/d\u00eda. En un principio, fueron consideradas sustancias sin acci\u00f3n beneficiosa para la salud humana, pero m\u00e1s tarde se demostraron m\u00faltiples efectos positivos debido a su acci\u00f3n antioxidante y eliminadora de radicales libres. Aunque diversos estudios indican que algunos flavonoides poseen acciones prooxidantes, \u00e9stas se producen s\u00f3lo a dosis altas, constat\u00e1ndose en la mayor parte de las investigaciones la existencia de efectos antiinflamatorios, antivirales o antial\u00e9rgicos, y su papel protector frente a enfermedades cardiovasculares, c\u00e1ncer y diversas patolog\u00edas", "author" : [ { "dropping-particle" : "", "family" : "Mart\u00ednez-Fl\u00f3rez", "given" : "S.", "non-dropping-particle" : "", "parse-names" : false, "suffix" : "" }, { "dropping-particle" : "", "family" : "Gonz\u00e1lez-Gallego", "given" : "J.", "non-dropping-particle" : "", "parse-names" : false, "suffix" : "" }, { "dropping-particle" : "", "family" : "Culebras", "given" : "J. M.", "non-dropping-particle" : "", "parse-names" : false, "suffix" : "" }, { "dropping-particle" : "", "family" : "Tu\u00f1\u00f3n", "given" : "Mar\u00eda Jes\u00fas", "non-dropping-particle" : "", "parse-names" : false, "suffix" : "" } ], "container-title" : "Nutricion Hospitalaria", "id" : "ITEM-1", "issue" : "6", "issued" : { "date-parts" : [ [ "2002" ] ] }, "page" : "271-278", "title" : "Los flavonoides: Propiedades y acciones antioxidantes", "type" : "article-journal", "volume" : "17" }, "uris" : [ "http://www.mendeley.com/documents/?uuid=57b70ad3-d955-4ae5-85d4-a10686205332" ] } ], "mendeley" : { "formattedCitation" : "(Mart\u00ednez-Fl\u00f3rez et al., 2002)", "plainTextFormattedCitation" : "(Mart\u00ednez-Fl\u00f3rez et al., 2002)", "previouslyFormattedCitation" : "(Mart\u00ednez-Fl\u00f3rez et al., 2002)"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(Martínez-Flórez et al., 2002)</w:t>
      </w:r>
      <w:r w:rsidRPr="003516A7">
        <w:rPr>
          <w:bCs/>
          <w:color w:val="auto"/>
          <w:szCs w:val="24"/>
          <w:lang w:eastAsia="pt-BR"/>
        </w:rPr>
        <w:fldChar w:fldCharType="end"/>
      </w:r>
      <w:r w:rsidRPr="003516A7">
        <w:rPr>
          <w:bCs/>
          <w:color w:val="auto"/>
          <w:szCs w:val="24"/>
          <w:lang w:eastAsia="pt-BR"/>
        </w:rPr>
        <w:t>.</w:t>
      </w:r>
      <w:bookmarkEnd w:id="115"/>
      <w:bookmarkEnd w:id="116"/>
      <w:bookmarkEnd w:id="117"/>
      <w:bookmarkEnd w:id="118"/>
      <w:bookmarkEnd w:id="119"/>
      <w:bookmarkEnd w:id="120"/>
      <w:bookmarkEnd w:id="121"/>
      <w:bookmarkEnd w:id="122"/>
      <w:bookmarkEnd w:id="123"/>
      <w:bookmarkEnd w:id="124"/>
      <w:bookmarkEnd w:id="125"/>
      <w:bookmarkEnd w:id="126"/>
      <w:bookmarkEnd w:id="127"/>
      <w:r w:rsidRPr="003516A7">
        <w:rPr>
          <w:bCs/>
          <w:color w:val="auto"/>
          <w:szCs w:val="24"/>
          <w:lang w:eastAsia="pt-BR"/>
        </w:rPr>
        <w:t xml:space="preserve"> </w:t>
      </w:r>
    </w:p>
    <w:p w14:paraId="7E363BA3" w14:textId="2428FDEA" w:rsidR="00405D31" w:rsidRPr="008474BA" w:rsidRDefault="00405D31" w:rsidP="00405D31">
      <w:pPr>
        <w:pStyle w:val="Cabealho4"/>
        <w:rPr>
          <w:rFonts w:ascii="Times New Roman" w:hAnsi="Times New Roman" w:cs="Times New Roman"/>
          <w:i w:val="0"/>
          <w:color w:val="auto"/>
        </w:rPr>
      </w:pPr>
      <w:bookmarkStart w:id="128" w:name="_Toc479154823"/>
      <w:r>
        <w:rPr>
          <w:rFonts w:ascii="Times New Roman" w:hAnsi="Times New Roman" w:cs="Times New Roman"/>
          <w:i w:val="0"/>
          <w:color w:val="auto"/>
        </w:rPr>
        <w:t>1.3.3.4 Taninos</w:t>
      </w:r>
      <w:bookmarkEnd w:id="128"/>
    </w:p>
    <w:p w14:paraId="37B0FE6F" w14:textId="2134782B" w:rsidR="00FF0B6C" w:rsidRDefault="00FF0B6C" w:rsidP="003516A7">
      <w:pPr>
        <w:spacing w:before="100" w:beforeAutospacing="1" w:after="100" w:afterAutospacing="1" w:line="360" w:lineRule="auto"/>
        <w:ind w:left="0" w:right="0" w:firstLine="0"/>
        <w:outlineLvl w:val="1"/>
      </w:pPr>
      <w:bookmarkStart w:id="129" w:name="_Toc479154477"/>
      <w:bookmarkStart w:id="130" w:name="_Toc479154824"/>
      <w:r>
        <w:t>Além de moléculas mais simples como os ácidos fenólicos e os flavonoides, os taninos são encontrados em muitas frutas</w:t>
      </w:r>
      <w:r w:rsidR="002264EE">
        <w:t xml:space="preserve"> e plantas</w:t>
      </w:r>
      <w:r>
        <w:t>, sendo caracterizados como compostos fenólicos de alto peso molecular, que precipitam proteínas, incluindo proteínas salivares da cavidade oral.</w:t>
      </w:r>
      <w:bookmarkEnd w:id="129"/>
      <w:bookmarkEnd w:id="130"/>
      <w:r w:rsidR="002264EE">
        <w:t xml:space="preserve"> </w:t>
      </w:r>
    </w:p>
    <w:p w14:paraId="5F715198" w14:textId="4B593DAE" w:rsidR="00FF0B6C" w:rsidRDefault="00FF0B6C" w:rsidP="00FF0B6C">
      <w:pPr>
        <w:spacing w:after="200" w:line="360" w:lineRule="auto"/>
        <w:ind w:left="0" w:right="0" w:firstLine="0"/>
        <w:rPr>
          <w:color w:val="auto"/>
          <w:szCs w:val="24"/>
          <w:lang w:eastAsia="en-US"/>
        </w:rPr>
      </w:pPr>
      <w:r w:rsidRPr="004E4759">
        <w:rPr>
          <w:color w:val="auto"/>
          <w:szCs w:val="24"/>
          <w:lang w:eastAsia="en-US"/>
        </w:rPr>
        <w:t xml:space="preserve">Estes compostos fenólicos possuem um peso molecular de 500 a 30 000 Da, apresentam solubilidade em água e capacidade de precipitar as proteínas formando complexos insolúveis em água, gelatinas e alcaloides, fornecendo assim informações sobre o valor nutricional de alimentos e bebidas que contêm taninos </w:t>
      </w:r>
      <w:r w:rsidRPr="004E4759">
        <w:rPr>
          <w:color w:val="auto"/>
          <w:szCs w:val="24"/>
          <w:lang w:eastAsia="en-US"/>
        </w:rPr>
        <w:fldChar w:fldCharType="begin" w:fldLock="1"/>
      </w:r>
      <w:r w:rsidR="00D73AD0">
        <w:rPr>
          <w:color w:val="auto"/>
          <w:szCs w:val="24"/>
          <w:lang w:eastAsia="en-US"/>
        </w:rPr>
        <w:instrText>ADDIN CSL_CITATION { "citationItems" : [ { "id" : "ITEM-1", "itemData" : { "author" : [ { "dropping-particle" : "", "family" : "Monteiro", "given" : "Julio Marcelino", "non-dropping-particle" : "", "parse-names" : false, "suffix" : "" }, { "dropping-particle" : "", "family" : "Paulino", "given" : "Ulysses", "non-dropping-particle" : "", "parse-names" : false, "suffix" : "" }, { "dropping-particle" : "", "family" : "Albuquerque", "given" : "De", "non-dropping-particle" : "", "parse-names" : false, "suffix" : "" }, { "dropping-particle" : "De", "family" : "Lima", "given" : "Elcida", "non-dropping-particle" : "", "parse-names" : false, "suffix" : "" } ], "id" : "ITEM-1", "issue" : "5", "issued" : { "date-parts" : [ [ "2005" ] ] }, "page" : "892-896", "title" : "Taninos: Uma abordagem da qu\u00edmica \u00e0 ecologia", "type" : "article-journal", "volume" : "28" }, "uris" : [ "http://www.mendeley.com/documents/?uuid=ffe723d8-6b4a-4b8c-b70e-4d01518e8579" ] }, { "id" : "ITEM-2", "itemData" : { "DOI" : "10.1002/mnfr.200900039", "author" : [ { "dropping-particle" : "", "family" : "Serrano", "given" : "Jos\u00e9", "non-dropping-particle" : "", "parse-names" : false, "suffix" : "" }, { "dropping-particle" : "", "family" : "Puupponen-Pimia", "given" : "Riitla", "non-dropping-particle" : "", "parse-names" : false, "suffix" : "" }, { "dropping-particle" : "", "family" : "Aura", "given" : "Anna-Marja", "non-dropping-particle" : "", "parse-names" : false, "suffix" : "" }, { "dropping-particle" : "", "family" : "Soura-Calixto", "given" : "Fulgencio", "non-dropping-particle" : "", "parse-names" : false, "suffix" : "" } ], "container-title" : "molecular nutrition &amp; food research", "id" : "ITEM-2", "issue" : "2", "issued" : { "date-parts" : [ [ "2009", "5" ] ] }, "page" : "310-329", "title" : "tannins: current knowledge of food source intake, bioavailability and biological effects", "type" : "article-journal", "volume" : "53" }, "uris" : [ "http://www.mendeley.com/documents/?uuid=8185be75-5a9c-4698-9738-70bcdc54ff94" ] }, { "id" : "ITEM-3", "itemData" : { "author" : [ { "dropping-particle" : "", "family" : "Hagerman", "given" : "Ann E.", "non-dropping-particle" : "", "parse-names" : false, "suffix" : "" }, { "dropping-particle" : "", "family" : "Butler", "given" : "Larry G.", "non-dropping-particle" : "", "parse-names" : false, "suffix" : "" } ], "container-title" : "Journal of Agricultural and Food Chemistry", "id" : "ITEM-3", "issue" : "4", "issued" : { "date-parts" : [ [ "1978" ] ] }, "page" : "809-812", "title" : "Protein precipitation method for quantitative determination of tannins", "type" : "article-journal", "volume" : "26" }, "uris" : [ "http://www.mendeley.com/documents/?uuid=8c0999eb-0623-4d93-8d0f-bceb79dc990d" ] } ], "mendeley" : { "formattedCitation" : "(Hagerman &amp; Butler, 1978; Monteiro, Paulino, Albuquerque, &amp; Lima, 2005; Serrano, Puupponen-Pimia, Aura, &amp; Soura-Calixto, 2009)", "manualFormatting" : "(Hagerman &amp; Butler, 1978; Monteiro et al., 2005; Serrano et al., 2009)", "plainTextFormattedCitation" : "(Hagerman &amp; Butler, 1978; Monteiro, Paulino, Albuquerque, &amp; Lima, 2005; Serrano, Puupponen-Pimia, Aura, &amp; Soura-Calixto, 2009)", "previouslyFormattedCitation" : "(Hagerman &amp; Butler, 1978; Monteiro, Paulino, Albuquerque, &amp; Lima, 2005; Serrano, Puupponen-Pimia, Aura, &amp; Soura-Calixto, 2009)"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(Hagerman &amp; Butler, 1978; Montei</w:t>
      </w:r>
      <w:r>
        <w:rPr>
          <w:noProof/>
          <w:color w:val="auto"/>
          <w:szCs w:val="24"/>
          <w:lang w:eastAsia="en-US"/>
        </w:rPr>
        <w:t>ro et al., 2005; Serrano et al.</w:t>
      </w:r>
      <w:r w:rsidRPr="004E4759">
        <w:rPr>
          <w:noProof/>
          <w:color w:val="auto"/>
          <w:szCs w:val="24"/>
          <w:lang w:eastAsia="en-US"/>
        </w:rPr>
        <w:t>, 2009)</w:t>
      </w:r>
      <w:r w:rsidRPr="004E4759">
        <w:rPr>
          <w:color w:val="auto"/>
          <w:szCs w:val="24"/>
          <w:lang w:eastAsia="en-US"/>
        </w:rPr>
        <w:fldChar w:fldCharType="end"/>
      </w:r>
      <w:r w:rsidRPr="004E4759">
        <w:rPr>
          <w:color w:val="auto"/>
          <w:szCs w:val="24"/>
          <w:lang w:eastAsia="en-US"/>
        </w:rPr>
        <w:t>.</w:t>
      </w:r>
      <w:r w:rsidR="00FF4CF4" w:rsidRPr="00FF4CF4">
        <w:t xml:space="preserve"> </w:t>
      </w:r>
      <w:r w:rsidR="00FF4CF4">
        <w:t xml:space="preserve">Assim, os taninos são divididos em dois grupos, de acordo com seu tipo estrutural: taninos </w:t>
      </w:r>
      <w:proofErr w:type="gramStart"/>
      <w:r w:rsidR="00FF4CF4">
        <w:t>hidrolisáveis</w:t>
      </w:r>
      <w:proofErr w:type="gramEnd"/>
      <w:r w:rsidR="00FF4CF4">
        <w:t xml:space="preserve"> e taninos condensados ou proantocianidinas (Rochas et al., 2011).</w:t>
      </w:r>
    </w:p>
    <w:p w14:paraId="68424AD8" w14:textId="3A995E63" w:rsidR="00FF0B6C" w:rsidRDefault="002264EE" w:rsidP="00405D31">
      <w:pPr>
        <w:spacing w:after="200" w:line="360" w:lineRule="auto"/>
        <w:ind w:left="0" w:right="0" w:firstLine="0"/>
        <w:rPr>
          <w:color w:val="auto"/>
          <w:szCs w:val="24"/>
          <w:lang w:eastAsia="en-US"/>
        </w:rPr>
      </w:pPr>
      <w:r>
        <w:rPr>
          <w:color w:val="auto"/>
          <w:szCs w:val="24"/>
          <w:lang w:eastAsia="en-US"/>
        </w:rPr>
        <w:lastRenderedPageBreak/>
        <w:t>Estes atuam como defensores das plantas contra ataques exteriores, tornando o seu sabor desagradável, principalmente para quando não se encontram maduros o suficiente, dando uma sensação de adstringência e secura na língua e palato</w:t>
      </w:r>
      <w:r w:rsidR="007B34A4">
        <w:rPr>
          <w:color w:val="auto"/>
          <w:szCs w:val="24"/>
          <w:lang w:eastAsia="en-US"/>
        </w:rPr>
        <w:t xml:space="preserve"> </w:t>
      </w:r>
      <w:r w:rsidR="007B34A4">
        <w:rPr>
          <w:color w:val="auto"/>
          <w:szCs w:val="24"/>
          <w:lang w:eastAsia="en-US"/>
        </w:rPr>
        <w:fldChar w:fldCharType="begin" w:fldLock="1"/>
      </w:r>
      <w:r w:rsidR="007B34A4">
        <w:rPr>
          <w:color w:val="auto"/>
          <w:szCs w:val="24"/>
          <w:lang w:eastAsia="en-US"/>
        </w:rPr>
        <w:instrText>ADDIN CSL_CITATION { "citationItems" : [ { "id" : "ITEM-1", "itemData" : { "URL" : "www.tintosetantos.com", "accessed" : { "date-parts" : [ [ "2017", "4", "3" ] ] }, "author" : [ { "dropping-particle" : "", "family" : "An\u00f3nimo", "given" : "", "non-dropping-particle" : "", "parse-names" : false, "suffix" : "" } ], "container-title" : "Tintos&amp;Tantos", "id" : "ITEM-1", "issued" : { "date-parts" : [ [ "2013" ] ] }, "title" : "Afinal, o que s\u00e3o taninos?", "type" : "webpage" }, "uris" : [ "http://www.mendeley.com/documents/?uuid=bec90d45-226e-43c1-b250-1a3ed9d1c28f" ] } ], "mendeley" : { "formattedCitation" : "(An\u00f3nimo, 2013a)", "plainTextFormattedCitation" : "(An\u00f3nimo, 2013a)", "previouslyFormattedCitation" : "(An\u00f3nimo, 2013a)" }, "properties" : { "noteIndex" : 0 }, "schema" : "https://github.com/citation-style-language/schema/raw/master/csl-citation.json" }</w:instrText>
      </w:r>
      <w:r w:rsidR="007B34A4">
        <w:rPr>
          <w:color w:val="auto"/>
          <w:szCs w:val="24"/>
          <w:lang w:eastAsia="en-US"/>
        </w:rPr>
        <w:fldChar w:fldCharType="separate"/>
      </w:r>
      <w:r w:rsidR="007B34A4" w:rsidRPr="007B34A4">
        <w:rPr>
          <w:noProof/>
          <w:color w:val="auto"/>
          <w:szCs w:val="24"/>
          <w:lang w:eastAsia="en-US"/>
        </w:rPr>
        <w:t>(Anónimo, 2013a)</w:t>
      </w:r>
      <w:r w:rsidR="007B34A4">
        <w:rPr>
          <w:color w:val="auto"/>
          <w:szCs w:val="24"/>
          <w:lang w:eastAsia="en-US"/>
        </w:rPr>
        <w:fldChar w:fldCharType="end"/>
      </w:r>
      <w:r w:rsidR="007B34A4">
        <w:rPr>
          <w:color w:val="auto"/>
          <w:szCs w:val="24"/>
          <w:lang w:eastAsia="en-US"/>
        </w:rPr>
        <w:t>.</w:t>
      </w:r>
    </w:p>
    <w:p w14:paraId="4126FB53" w14:textId="11B16F25" w:rsidR="00405D31" w:rsidRDefault="00405D31" w:rsidP="00405D31">
      <w:pPr>
        <w:spacing w:after="200" w:line="360" w:lineRule="auto"/>
        <w:ind w:left="0" w:right="0" w:firstLine="0"/>
        <w:rPr>
          <w:color w:val="auto"/>
          <w:szCs w:val="24"/>
          <w:lang w:eastAsia="en-US"/>
        </w:rPr>
      </w:pPr>
      <w:r w:rsidRPr="004E4759">
        <w:rPr>
          <w:color w:val="auto"/>
          <w:szCs w:val="24"/>
          <w:lang w:eastAsia="en-US"/>
        </w:rPr>
        <w:t xml:space="preserve">Os taninos são metabolitos secundários com um grande potencial económico e ecológico </w:t>
      </w:r>
      <w:r w:rsidRPr="004E4759">
        <w:rPr>
          <w:color w:val="auto"/>
          <w:szCs w:val="24"/>
          <w:lang w:eastAsia="en-US"/>
        </w:rPr>
        <w:fldChar w:fldCharType="begin" w:fldLock="1"/>
      </w:r>
      <w:r w:rsidR="00BD1ECB">
        <w:rPr>
          <w:color w:val="auto"/>
          <w:szCs w:val="24"/>
          <w:lang w:eastAsia="en-US"/>
        </w:rPr>
        <w:instrText>ADDIN CSL_CITATION { "citationItems" : [ { "id" : "ITEM-1", "itemData" : { "author" : [ { "dropping-particle" : "", "family" : "Monteiro", "given" : "Julio Marcelino", "non-dropping-particle" : "", "parse-names" : false, "suffix" : "" }, { "dropping-particle" : "", "family" : "Paulino", "given" : "Ulysses", "non-dropping-particle" : "", "parse-names" : false, "suffix" : "" }, { "dropping-particle" : "", "family" : "Albuquerque", "given" : "De", "non-dropping-particle" : "", "parse-names" : false, "suffix" : "" }, { "dropping-particle" : "De", "family" : "Lima", "given" : "Elcida", "non-dropping-particle" : "", "parse-names" : false, "suffix" : "" } ], "id" : "ITEM-1", "issue" : "5", "issued" : { "date-parts" : [ [ "2005" ] ] }, "page" : "892-896", "title" : "Taninos: Uma abordagem da qu\u00edmica \u00e0 ecologia", "type" : "article-journal", "volume" : "28" }, "uris" : [ "http://www.mendeley.com/documents/?uuid=ffe723d8-6b4a-4b8c-b70e-4d01518e8579" ] } ], "mendeley" : { "formattedCitation" : "(Monteiro et al., 2005)", "manualFormatting" : "(Monteiro et al., 2005)", "plainTextFormattedCitation" : "(Monteiro et al., 2005)", "previouslyFormattedCitation" : "(Monteiro et al., 2005)"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(Monteir</w:t>
      </w:r>
      <w:r>
        <w:rPr>
          <w:noProof/>
          <w:color w:val="auto"/>
          <w:szCs w:val="24"/>
          <w:lang w:eastAsia="en-US"/>
        </w:rPr>
        <w:t>o et al.,</w:t>
      </w:r>
      <w:r w:rsidRPr="004E4759">
        <w:rPr>
          <w:noProof/>
          <w:color w:val="auto"/>
          <w:szCs w:val="24"/>
          <w:lang w:eastAsia="en-US"/>
        </w:rPr>
        <w:t xml:space="preserve"> 2005)</w:t>
      </w:r>
      <w:r w:rsidRPr="004E4759">
        <w:rPr>
          <w:color w:val="auto"/>
          <w:szCs w:val="24"/>
          <w:lang w:eastAsia="en-US"/>
        </w:rPr>
        <w:fldChar w:fldCharType="end"/>
      </w:r>
      <w:r w:rsidRPr="004E4759">
        <w:rPr>
          <w:color w:val="auto"/>
          <w:szCs w:val="24"/>
          <w:lang w:eastAsia="en-US"/>
        </w:rPr>
        <w:t>.</w:t>
      </w:r>
      <w:r w:rsidR="00FF4CF4">
        <w:rPr>
          <w:color w:val="auto"/>
          <w:szCs w:val="24"/>
          <w:lang w:eastAsia="en-US"/>
        </w:rPr>
        <w:t>Estes compostos</w:t>
      </w:r>
      <w:r w:rsidRPr="004E4759">
        <w:rPr>
          <w:color w:val="auto"/>
          <w:szCs w:val="24"/>
          <w:lang w:eastAsia="en-US"/>
        </w:rPr>
        <w:t xml:space="preserve"> têm sido alvo de inúmeros estudos, pois estes evidenciam uma grande atividade biológica, podendo agir como antioxidantes, anticancerígenos, anti-inflamatórios, cicatrizantes, antimicrobianos, antivirais e até como inibidores da transcriptase reversa em </w:t>
      </w:r>
      <w:proofErr w:type="gramStart"/>
      <w:r w:rsidRPr="004E4759">
        <w:rPr>
          <w:color w:val="auto"/>
          <w:szCs w:val="24"/>
          <w:lang w:eastAsia="en-US"/>
        </w:rPr>
        <w:t>HIV</w:t>
      </w:r>
      <w:proofErr w:type="gramEnd"/>
      <w:r w:rsidRPr="004E4759">
        <w:rPr>
          <w:color w:val="auto"/>
          <w:szCs w:val="24"/>
          <w:lang w:eastAsia="en-US"/>
        </w:rPr>
        <w:t xml:space="preserve"> </w:t>
      </w:r>
      <w:r w:rsidRPr="004E4759">
        <w:rPr>
          <w:color w:val="auto"/>
          <w:szCs w:val="24"/>
          <w:lang w:eastAsia="en-US"/>
        </w:rPr>
        <w:fldChar w:fldCharType="begin" w:fldLock="1"/>
      </w:r>
      <w:r w:rsidR="00D73AD0">
        <w:rPr>
          <w:color w:val="auto"/>
          <w:szCs w:val="24"/>
          <w:lang w:eastAsia="en-US"/>
        </w:rPr>
        <w:instrText>ADDIN CSL_CITATION { "citationItems" : [ { "id" : "ITEM-1", "itemData" : { "author" : [ { "dropping-particle" : "", "family" : "Monteiro", "given" : "Julio Marcelino", "non-dropping-particle" : "", "parse-names" : false, "suffix" : "" }, { "dropping-particle" : "", "family" : "Paulino", "given" : "Ulysses", "non-dropping-particle" : "", "parse-names" : false, "suffix" : "" }, { "dropping-particle" : "", "family" : "Albuquerque", "given" : "De", "non-dropping-particle" : "", "parse-names" : false, "suffix" : "" }, { "dropping-particle" : "De", "family" : "Lima", "given" : "Elcida", "non-dropping-particle" : "", "parse-names" : false, "suffix" : "" } ], "id" : "ITEM-1", "issue" : "5", "issued" : { "date-parts" : [ [ "2005" ] ] }, "page" : "892-896", "title" : "Taninos: Uma abordagem da qu\u00edmica \u00e0 ecologia", "type" : "article-journal", "volume" : "28" }, "uris" : [ "http://www.mendeley.com/documents/?uuid=ffe723d8-6b4a-4b8c-b70e-4d01518e8579" ] }, { "id" : "ITEM-2", "itemData" : { "DOI" : "10.1002/mnfr.200900039", "author" : [ { "dropping-particle" : "", "family" : "Serrano", "given" : "Jos\u00e9", "non-dropping-particle" : "", "parse-names" : false, "suffix" : "" }, { "dropping-particle" : "", "family" : "Puupponen-Pimia", "given" : "Riitla", "non-dropping-particle" : "", "parse-names" : false, "suffix" : "" }, { "dropping-particle" : "", "family" : "Aura", "given" : "Anna-Marja", "non-dropping-particle" : "", "parse-names" : false, "suffix" : "" }, { "dropping-particle" : "", "family" : "Soura-Calixto", "given" : "Fulgencio", "non-dropping-particle" : "", "parse-names" : false, "suffix" : "" } ], "container-title" : "molecular nutrition &amp; food research", "id" : "ITEM-2", "issue" : "2", "issued" : { "date-parts" : [ [ "2009", "5" ] ] }, "page" : "310-329", "title" : "tannins: current knowledge of food source intake, bioavailability and biological effects", "type" : "article-journal", "volume" : "53" }, "uris" : [ "http://www.mendeley.com/documents/?uuid=8185be75-5a9c-4698-9738-70bcdc54ff94" ] } ], "mendeley" : { "formattedCitation" : "(Monteiro et al., 2005; Serrano et al., 2009)", "plainTextFormattedCitation" : "(Monteiro et al., 2005; Serrano et al., 2009)", "previouslyFormattedCitation" : "(Monteiro et al., 2005; Serrano et al., 2009)"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(Monteiro et al., 2005; Serrano et al., 2009)</w:t>
      </w:r>
      <w:r w:rsidRPr="004E4759">
        <w:rPr>
          <w:color w:val="auto"/>
          <w:szCs w:val="24"/>
          <w:lang w:eastAsia="en-US"/>
        </w:rPr>
        <w:fldChar w:fldCharType="end"/>
      </w:r>
      <w:r w:rsidRPr="004E4759">
        <w:rPr>
          <w:color w:val="auto"/>
          <w:szCs w:val="24"/>
          <w:lang w:eastAsia="en-US"/>
        </w:rPr>
        <w:t>.</w:t>
      </w:r>
    </w:p>
    <w:p w14:paraId="48C77618" w14:textId="2A084A61" w:rsidR="00BC4D2E" w:rsidRPr="00BC4D2E" w:rsidRDefault="00BC4D2E" w:rsidP="00BC4D2E">
      <w:pPr>
        <w:pStyle w:val="Cabealho3"/>
        <w:rPr>
          <w:rFonts w:ascii="Times New Roman" w:hAnsi="Times New Roman" w:cs="Times New Roman"/>
          <w:color w:val="auto"/>
        </w:rPr>
      </w:pPr>
      <w:bookmarkStart w:id="131" w:name="_Toc479154825"/>
      <w:r w:rsidRPr="00BC4D2E">
        <w:rPr>
          <w:rFonts w:ascii="Times New Roman" w:hAnsi="Times New Roman" w:cs="Times New Roman"/>
          <w:color w:val="auto"/>
        </w:rPr>
        <w:t xml:space="preserve"> 1.3.4 Betalaínas</w:t>
      </w:r>
      <w:bookmarkEnd w:id="131"/>
    </w:p>
    <w:p w14:paraId="270A4B51" w14:textId="77777777" w:rsidR="00BC4D2E" w:rsidRPr="0063100E" w:rsidRDefault="00BC4D2E" w:rsidP="00BC4D2E">
      <w:pPr>
        <w:rPr>
          <w:lang w:eastAsia="pt-BR"/>
        </w:rPr>
      </w:pPr>
    </w:p>
    <w:p w14:paraId="50F818AC" w14:textId="77777777" w:rsidR="00BC4D2E" w:rsidRPr="00545429" w:rsidRDefault="00BC4D2E" w:rsidP="00BC4D2E">
      <w:pPr>
        <w:spacing w:after="200" w:line="360" w:lineRule="auto"/>
        <w:ind w:left="0" w:right="0" w:firstLine="0"/>
        <w:rPr>
          <w:rFonts w:eastAsia="Calibri"/>
          <w:color w:val="auto"/>
          <w:szCs w:val="24"/>
          <w:lang w:eastAsia="en-US"/>
        </w:rPr>
      </w:pPr>
      <w:r w:rsidRPr="00545429">
        <w:rPr>
          <w:rFonts w:eastAsia="Calibri"/>
          <w:color w:val="auto"/>
          <w:szCs w:val="24"/>
          <w:lang w:eastAsia="en-US"/>
        </w:rPr>
        <w:t>As betalaínas que foram recentemente classificadas com antioxidantes naturais</w:t>
      </w:r>
      <w:proofErr w:type="gramStart"/>
      <w:r w:rsidRPr="00545429">
        <w:rPr>
          <w:rFonts w:eastAsia="Calibri"/>
          <w:color w:val="auto"/>
          <w:szCs w:val="24"/>
          <w:lang w:eastAsia="en-US"/>
        </w:rPr>
        <w:t>,</w:t>
      </w:r>
      <w:proofErr w:type="gramEnd"/>
      <w:r w:rsidRPr="00545429">
        <w:rPr>
          <w:rFonts w:eastAsia="Calibri"/>
          <w:color w:val="auto"/>
          <w:szCs w:val="24"/>
          <w:lang w:eastAsia="en-US"/>
        </w:rPr>
        <w:t xml:space="preserve"> são pigmentos naturais, hidrossolúveis, encontrados nos vacúolos das plantas e contém azoto </w:t>
      </w:r>
      <w:r w:rsidRPr="00545429">
        <w:rPr>
          <w:rFonts w:eastAsia="Calibri"/>
          <w:color w:val="auto"/>
          <w:szCs w:val="24"/>
          <w:lang w:eastAsia="en-US"/>
        </w:rPr>
        <w:fldChar w:fldCharType="begin" w:fldLock="1"/>
      </w:r>
      <w:r>
        <w:rPr>
          <w:rFonts w:eastAsia="Calibri"/>
          <w:color w:val="auto"/>
          <w:szCs w:val="24"/>
          <w:lang w:eastAsia="en-US"/>
        </w:rPr>
        <w:instrText>ADDIN CSL_CITATION { "citationItems" : [ { "id" : "ITEM-1", "itemData" : { "ISBN" : "0002-9165", "ISSN" : "00029165", "PMID" : "15447903", "abstract" : "BACKGROUND: Betalains were recently identified as natural antioxidants. However, little is known about their bioavailability from dietary sources. OBJECTIVE: The objective was to evaluate the bioavailability of betalains from dietary sources. DESIGN: The plasma kinetics and urinary excretion of betalains were studied in healthy volunteers (n = 8) after a single ingestion of 500 g cactus pear fruit pulp, which provided 28 and 16 mg indicaxanthin and betanin, respectively. The incorporation of betalains in LDL and the resistance of the particles to ex vivo-induced oxidation was also researched. RESULTS: Betanin and indicaxanthin reached their maximum plasma concentrations 3 h after the fruit meal and declined according to first-order kinetics. The half-life of betanin (0.94 +/- 0.07 h) was shorter than that of indicaxanthin (2.36 +/- 0.17 h). Both compounds had disappeared from plasma by 12 h after intake. The urinary excretion of indicaxanthin and betanin over 12 h represented 76 +/- 3.0% and 3.7 +/- 0.2%, respectively, of the ingested compounds. LDL isolated 3 and 5 h after the fruit meal incorporated betalains at concentrations of 100.5 +/- 11 and 50 +/- 7.2 pmol/mg LDL protein, respectively. In addition, the particles appeared more resistant to ex vivo-induced oxidative injury than did the samples isolated before fruit ingestion (P &lt; 0.05)-the higher the amount of betalains incorporated, the higher the resistance. The concentrations of vitamin E and beta-carotene in LDL did not change significantly after fruit ingestion. CONCLUSION: Our results show that cactus pear fruit is a source of bioavailable betalains and suggest that indicaxanthin and betanin may be involved in the observed protection of LDL against ex vivo-induced oxidative modifications.", "author" : [ { "dropping-particle" : "", "family" : "Tesoriere", "given" : "Luisa", "non-dropping-particle" : "", "parse-names" : false, "suffix" : "" }, { "dropping-particle" : "", "family" : "Allegra", "given" : "Mario", "non-dropping-particle" : "", "parse-names" : false, "suffix" : "" }, { "dropping-particle" : "", "family" : "Butera", "given" : "Daniela", "non-dropping-particle" : "", "parse-names" : false, "suffix" : "" }, { "dropping-particle" : "", "family" : "Livrea", "given" : "Maria a.", "non-dropping-particle" : "", "parse-names" : false, "suffix" : "" } ], "container-title" : "American Journal of Clinical Nutrition", "id" : "ITEM-1", "issue" : "4", "issued" : { "date-parts" : [ [ "2004" ] ] }, "page" : "941-945", "title" : "Absorption, excretion, and distribution of dietary antioxidant betalains in LDLs: Potential health effects of betalains in humans", "type" : "article-journal", "volume" : "80" }, "uris" : [ "http://www.mendeley.com/documents/?uuid=f65fb5af-a22b-45e0-9c61-3ece8d01855e" ] }, { "id" : "ITEM-2", "itemData" : { "URL" : "https://cinutri.wordpress.com/2013/05/15/betalainas-e-cactos-do-genero-opuntia-na-alimentacao-e-farmacologia-2/", "author" : [ { "dropping-particle" : "", "family" : "Mullenweg", "given" : "Matt", "non-dropping-particle" : "", "parse-names" : false, "suffix" : "" } ], "container-title" : "Ci\u00eancias da nutri\u00e7\u00e3o UAtl\u00e2ntica", "id" : "ITEM-2", "issued" : { "date-parts" : [ [ "2013" ] ] }, "title" : "Betala\u00ednas e cactos do g\u00e9nero Opuntia na alimenta\u00e7\u00e3o e farmacologia", "type" : "webpage" }, "uris" : [ "http://www.mendeley.com/documents/?uuid=bf75e9b3-29ea-458c-a950-d57a9232bf35" ] } ], "mendeley" : { "formattedCitation" : "(Mullenweg, 2013; Tesoriere, Allegra, Butera, &amp; Livrea, 2004)", "manualFormatting" : "(Mullenweg, 2013; Tesoriere et al., 2004)", "plainTextFormattedCitation" : "(Mullenweg, 2013; Tesoriere, Allegra, Butera, &amp; Livrea, 2004)", "previouslyFormattedCitation" : "(Mullenweg, 2013; Tesoriere, Allegra, Butera, &amp; Livrea, 2004)" }, "properties" : { "noteIndex" : 0 }, "schema" : "https://github.com/citation-style-language/schema/raw/master/csl-citation.json" }</w:instrText>
      </w:r>
      <w:r w:rsidRPr="00545429">
        <w:rPr>
          <w:rFonts w:eastAsia="Calibri"/>
          <w:color w:val="auto"/>
          <w:szCs w:val="24"/>
          <w:lang w:eastAsia="en-US"/>
        </w:rPr>
        <w:fldChar w:fldCharType="separate"/>
      </w:r>
      <w:r w:rsidRPr="00FA7BC5">
        <w:rPr>
          <w:rFonts w:eastAsia="Calibri"/>
          <w:noProof/>
          <w:color w:val="auto"/>
          <w:szCs w:val="24"/>
          <w:lang w:eastAsia="en-US"/>
        </w:rPr>
        <w:t>(Mullen</w:t>
      </w:r>
      <w:r>
        <w:rPr>
          <w:rFonts w:eastAsia="Calibri"/>
          <w:noProof/>
          <w:color w:val="auto"/>
          <w:szCs w:val="24"/>
          <w:lang w:eastAsia="en-US"/>
        </w:rPr>
        <w:t>weg, 2013; Tesoriere et al.</w:t>
      </w:r>
      <w:r w:rsidRPr="00FA7BC5">
        <w:rPr>
          <w:rFonts w:eastAsia="Calibri"/>
          <w:noProof/>
          <w:color w:val="auto"/>
          <w:szCs w:val="24"/>
          <w:lang w:eastAsia="en-US"/>
        </w:rPr>
        <w:t>, 2004)</w:t>
      </w:r>
      <w:r w:rsidRPr="00545429">
        <w:rPr>
          <w:rFonts w:eastAsia="Calibri"/>
          <w:color w:val="auto"/>
          <w:szCs w:val="24"/>
          <w:lang w:eastAsia="en-US"/>
        </w:rPr>
        <w:fldChar w:fldCharType="end"/>
      </w:r>
      <w:r w:rsidRPr="00545429">
        <w:rPr>
          <w:rFonts w:eastAsia="Calibri"/>
          <w:color w:val="auto"/>
          <w:szCs w:val="24"/>
          <w:lang w:eastAsia="en-US"/>
        </w:rPr>
        <w:t>.</w:t>
      </w:r>
    </w:p>
    <w:p w14:paraId="58D76BCE" w14:textId="4FE02DBE" w:rsidR="00BC4D2E" w:rsidRDefault="00BC4D2E" w:rsidP="00BC4D2E">
      <w:pPr>
        <w:spacing w:after="200" w:line="360" w:lineRule="auto"/>
        <w:ind w:left="0" w:right="0" w:firstLine="0"/>
        <w:rPr>
          <w:rFonts w:eastAsia="Calibri"/>
          <w:color w:val="auto"/>
          <w:szCs w:val="24"/>
          <w:lang w:eastAsia="en-US"/>
        </w:rPr>
      </w:pPr>
      <w:r w:rsidRPr="00545429">
        <w:rPr>
          <w:rFonts w:eastAsia="Calibri"/>
          <w:color w:val="auto"/>
          <w:szCs w:val="24"/>
          <w:lang w:eastAsia="en-US"/>
        </w:rPr>
        <w:t xml:space="preserve"> As suas estruturas químicas </w:t>
      </w:r>
      <w:r w:rsidR="00703FCF">
        <w:rPr>
          <w:rFonts w:eastAsia="Calibri"/>
          <w:color w:val="auto"/>
          <w:szCs w:val="24"/>
          <w:lang w:eastAsia="en-US"/>
        </w:rPr>
        <w:t>(F</w:t>
      </w:r>
      <w:r w:rsidR="002521DE">
        <w:rPr>
          <w:rFonts w:eastAsia="Calibri"/>
          <w:color w:val="auto"/>
          <w:szCs w:val="24"/>
          <w:lang w:eastAsia="en-US"/>
        </w:rPr>
        <w:t>igura 3</w:t>
      </w:r>
      <w:r>
        <w:rPr>
          <w:rFonts w:eastAsia="Calibri"/>
          <w:color w:val="auto"/>
          <w:szCs w:val="24"/>
          <w:lang w:eastAsia="en-US"/>
        </w:rPr>
        <w:t xml:space="preserve">) </w:t>
      </w:r>
      <w:r w:rsidRPr="00545429">
        <w:rPr>
          <w:rFonts w:eastAsia="Calibri"/>
          <w:color w:val="auto"/>
          <w:szCs w:val="24"/>
          <w:lang w:eastAsia="en-US"/>
        </w:rPr>
        <w:t>são compostas por ácido betal</w:t>
      </w:r>
      <w:r>
        <w:rPr>
          <w:rFonts w:eastAsia="Calibri"/>
          <w:color w:val="auto"/>
          <w:szCs w:val="24"/>
          <w:lang w:eastAsia="en-US"/>
        </w:rPr>
        <w:t>â</w:t>
      </w:r>
      <w:r w:rsidRPr="00545429">
        <w:rPr>
          <w:rFonts w:eastAsia="Calibri"/>
          <w:color w:val="auto"/>
          <w:szCs w:val="24"/>
          <w:lang w:eastAsia="en-US"/>
        </w:rPr>
        <w:t xml:space="preserve">mico e podem dividir-se em dois grupos sendo eles as betacianinas, de cor avermelhada, e as betaxantinas, de cor amarelada </w:t>
      </w:r>
      <w:r w:rsidRPr="00545429">
        <w:rPr>
          <w:rFonts w:eastAsia="Calibri"/>
          <w:color w:val="auto"/>
          <w:szCs w:val="24"/>
          <w:lang w:eastAsia="en-US"/>
        </w:rPr>
        <w:fldChar w:fldCharType="begin" w:fldLock="1"/>
      </w:r>
      <w:r w:rsidRPr="00545429">
        <w:rPr>
          <w:rFonts w:eastAsia="Calibri"/>
          <w:color w:val="auto"/>
          <w:szCs w:val="24"/>
          <w:lang w:eastAsia="en-US"/>
        </w:rPr>
        <w:instrText>ADDIN CSL_CITATION { "citationItems" : [ { "id" : "ITEM-1", "itemData" : { "author" : [ { "dropping-particle" : "", "family" : "Azeredo", "given" : "Henriette MC", "non-dropping-particle" : "", "parse-names" : false, "suffix" : "" } ], "container-title" : "International journal of food science + technology", "id" : "ITEM-1", "issue" : "12", "issued" : { "date-parts" : [ [ "2008" ] ] }, "page" : "2365-2376", "title" : "Betalains: properties, source, applications and stability - a review", "type" : "article-journal", "volume" : "44" }, "uris" : [ "http://www.mendeley.com/documents/?uuid=0b677969-94c0-423d-9a03-dc332e4a3a04" ] } ], "mendeley" : { "formattedCitation" : "(Azeredo, 2008)", "plainTextFormattedCitation" : "(Azeredo, 2008)", "previouslyFormattedCitation" : "(Azeredo, 2008)" }, "properties" : { "noteIndex" : 0 }, "schema" : "https://github.com/citation-style-language/schema/raw/master/csl-citation.json" }</w:instrText>
      </w:r>
      <w:r w:rsidRPr="00545429">
        <w:rPr>
          <w:rFonts w:eastAsia="Calibri"/>
          <w:color w:val="auto"/>
          <w:szCs w:val="24"/>
          <w:lang w:eastAsia="en-US"/>
        </w:rPr>
        <w:fldChar w:fldCharType="separate"/>
      </w:r>
      <w:r w:rsidRPr="00545429">
        <w:rPr>
          <w:rFonts w:eastAsia="Calibri"/>
          <w:noProof/>
          <w:color w:val="auto"/>
          <w:szCs w:val="24"/>
          <w:lang w:eastAsia="en-US"/>
        </w:rPr>
        <w:t>(Azeredo, 2008)</w:t>
      </w:r>
      <w:r w:rsidRPr="00545429">
        <w:rPr>
          <w:rFonts w:eastAsia="Calibri"/>
          <w:color w:val="auto"/>
          <w:szCs w:val="24"/>
          <w:lang w:eastAsia="en-US"/>
        </w:rPr>
        <w:fldChar w:fldCharType="end"/>
      </w:r>
      <w:r w:rsidRPr="00545429">
        <w:rPr>
          <w:rFonts w:eastAsia="Calibri"/>
          <w:color w:val="auto"/>
          <w:szCs w:val="24"/>
          <w:lang w:eastAsia="en-US"/>
        </w:rPr>
        <w:t>.</w:t>
      </w:r>
    </w:p>
    <w:p w14:paraId="5B4F9833" w14:textId="77777777" w:rsidR="00BC4D2E" w:rsidRDefault="00BC4D2E" w:rsidP="00BC4D2E">
      <w:pPr>
        <w:keepNext/>
        <w:spacing w:after="200" w:line="360" w:lineRule="auto"/>
        <w:ind w:left="0" w:right="0" w:firstLine="0"/>
      </w:pPr>
      <w:r w:rsidRPr="00755B97">
        <w:rPr>
          <w:noProof/>
          <w:szCs w:val="24"/>
        </w:rPr>
        <w:drawing>
          <wp:inline distT="0" distB="0" distL="0" distR="0" wp14:anchorId="5BC268CF" wp14:editId="4C3BB37A">
            <wp:extent cx="4456863" cy="2962275"/>
            <wp:effectExtent l="0" t="0" r="127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77804" cy="2976194"/>
                    </a:xfrm>
                    <a:prstGeom prst="rect">
                      <a:avLst/>
                    </a:prstGeom>
                    <a:noFill/>
                    <a:ln>
                      <a:noFill/>
                    </a:ln>
                  </pic:spPr>
                </pic:pic>
              </a:graphicData>
            </a:graphic>
          </wp:inline>
        </w:drawing>
      </w:r>
    </w:p>
    <w:p w14:paraId="178EB89E" w14:textId="400CCFD5" w:rsidR="00BC4D2E" w:rsidRDefault="00BC4D2E" w:rsidP="00BC4D2E">
      <w:pPr>
        <w:pStyle w:val="Legenda"/>
        <w:rPr>
          <w:rFonts w:eastAsia="Calibri"/>
          <w:color w:val="auto"/>
          <w:szCs w:val="24"/>
          <w:lang w:eastAsia="en-US"/>
        </w:rPr>
      </w:pPr>
      <w:bookmarkStart w:id="132" w:name="_Toc479333878"/>
      <w:r>
        <w:t xml:space="preserve">Figura </w:t>
      </w:r>
      <w:r w:rsidR="00805B44">
        <w:fldChar w:fldCharType="begin"/>
      </w:r>
      <w:r w:rsidR="00805B44">
        <w:instrText xml:space="preserve"> SEQ Figura \* ARABIC </w:instrText>
      </w:r>
      <w:r w:rsidR="00805B44">
        <w:fldChar w:fldCharType="separate"/>
      </w:r>
      <w:r w:rsidR="005F28B4">
        <w:rPr>
          <w:noProof/>
        </w:rPr>
        <w:t>3</w:t>
      </w:r>
      <w:r w:rsidR="00805B44">
        <w:rPr>
          <w:noProof/>
        </w:rPr>
        <w:fldChar w:fldCharType="end"/>
      </w:r>
      <w:r>
        <w:t xml:space="preserve"> </w:t>
      </w:r>
      <w:r w:rsidRPr="008E2EF4">
        <w:rPr>
          <w:i w:val="0"/>
          <w:color w:val="auto"/>
          <w:sz w:val="20"/>
        </w:rPr>
        <w:t>– Estrutura química das betalaínas</w:t>
      </w:r>
      <w:r>
        <w:rPr>
          <w:i w:val="0"/>
          <w:color w:val="auto"/>
          <w:sz w:val="20"/>
        </w:rPr>
        <w:t xml:space="preserve"> </w:t>
      </w:r>
      <w:r>
        <w:rPr>
          <w:i w:val="0"/>
          <w:color w:val="auto"/>
          <w:sz w:val="20"/>
        </w:rPr>
        <w:fldChar w:fldCharType="begin" w:fldLock="1"/>
      </w:r>
      <w:r>
        <w:rPr>
          <w:i w:val="0"/>
          <w:color w:val="auto"/>
          <w:sz w:val="20"/>
        </w:rPr>
        <w:instrText>ADDIN CSL_CITATION { "citationItems" : [ { "id" : "ITEM-1", "itemData" : { "URL" : "https://cinutri.wordpress.com/2013/05/15/betalainas-e-cactos-do-genero-opuntia-na-alimentacao-e-farmacologia-2/", "author" : [ { "dropping-particle" : "", "family" : "Mullenweg", "given" : "Matt", "non-dropping-particle" : "", "parse-names" : false, "suffix" : "" } ], "container-title" : "Ci\u00eancias da nutri\u00e7\u00e3o UAtl\u00e2ntica", "id" : "ITEM-1", "issued" : { "date-parts" : [ [ "2013" ] ] }, "title" : "Betala\u00ednas e cactos do g\u00e9nero Opuntia na alimenta\u00e7\u00e3o e farmacologia", "type" : "webpage" }, "uris" : [ "http://www.mendeley.com/documents/?uuid=bf75e9b3-29ea-458c-a950-d57a9232bf35" ] } ], "mendeley" : { "formattedCitation" : "(Mullenweg, 2013)", "plainTextFormattedCitation" : "(Mullenweg, 2013)", "previouslyFormattedCitation" : "(Mullenweg, 2013)" }, "properties" : { "noteIndex" : 0 }, "schema" : "https://github.com/citation-style-language/schema/raw/master/csl-citation.json" }</w:instrText>
      </w:r>
      <w:r>
        <w:rPr>
          <w:i w:val="0"/>
          <w:color w:val="auto"/>
          <w:sz w:val="20"/>
        </w:rPr>
        <w:fldChar w:fldCharType="separate"/>
      </w:r>
      <w:r w:rsidRPr="00310D60">
        <w:rPr>
          <w:i w:val="0"/>
          <w:noProof/>
          <w:color w:val="auto"/>
          <w:sz w:val="20"/>
        </w:rPr>
        <w:t>(Mullenweg, 2013)</w:t>
      </w:r>
      <w:bookmarkEnd w:id="132"/>
      <w:r>
        <w:rPr>
          <w:i w:val="0"/>
          <w:color w:val="auto"/>
          <w:sz w:val="20"/>
        </w:rPr>
        <w:fldChar w:fldCharType="end"/>
      </w:r>
    </w:p>
    <w:p w14:paraId="594D41F0" w14:textId="77777777" w:rsidR="00BC4D2E" w:rsidRDefault="00BC4D2E" w:rsidP="00BC4D2E">
      <w:pPr>
        <w:spacing w:after="200" w:line="360" w:lineRule="auto"/>
        <w:ind w:left="0" w:right="0" w:firstLine="0"/>
        <w:rPr>
          <w:rFonts w:eastAsia="Calibri"/>
          <w:color w:val="auto"/>
          <w:szCs w:val="24"/>
          <w:lang w:eastAsia="en-US"/>
        </w:rPr>
      </w:pPr>
    </w:p>
    <w:p w14:paraId="03E78B67" w14:textId="77777777" w:rsidR="00BC4D2E" w:rsidRDefault="00BC4D2E" w:rsidP="00BC4D2E">
      <w:pPr>
        <w:spacing w:after="200" w:line="360" w:lineRule="auto"/>
        <w:ind w:left="0" w:right="0" w:firstLine="0"/>
        <w:rPr>
          <w:rFonts w:eastAsia="Calibri"/>
          <w:color w:val="auto"/>
          <w:szCs w:val="24"/>
          <w:lang w:eastAsia="en-US"/>
        </w:rPr>
      </w:pPr>
      <w:r w:rsidRPr="004E4759">
        <w:rPr>
          <w:rFonts w:eastAsia="Calibri"/>
          <w:color w:val="auto"/>
          <w:szCs w:val="24"/>
          <w:lang w:eastAsia="en-US"/>
        </w:rPr>
        <w:lastRenderedPageBreak/>
        <w:t>O seu ácido betal</w:t>
      </w:r>
      <w:r>
        <w:rPr>
          <w:rFonts w:eastAsia="Calibri"/>
          <w:color w:val="auto"/>
          <w:szCs w:val="24"/>
          <w:lang w:eastAsia="en-US"/>
        </w:rPr>
        <w:t>a</w:t>
      </w:r>
      <w:r w:rsidRPr="004E4759">
        <w:rPr>
          <w:rFonts w:eastAsia="Calibri"/>
          <w:color w:val="auto"/>
          <w:szCs w:val="24"/>
          <w:lang w:eastAsia="en-US"/>
        </w:rPr>
        <w:t xml:space="preserve">mico pode condensar e ligar-se a um </w:t>
      </w:r>
      <w:proofErr w:type="gramStart"/>
      <w:r w:rsidRPr="004E4759">
        <w:rPr>
          <w:rFonts w:eastAsia="Calibri"/>
          <w:color w:val="auto"/>
          <w:szCs w:val="24"/>
          <w:lang w:eastAsia="en-US"/>
        </w:rPr>
        <w:t>ciclo-3-(3</w:t>
      </w:r>
      <w:proofErr w:type="gramEnd"/>
      <w:r w:rsidRPr="004E4759">
        <w:rPr>
          <w:rFonts w:eastAsia="Calibri"/>
          <w:color w:val="auto"/>
          <w:szCs w:val="24"/>
          <w:lang w:eastAsia="en-US"/>
        </w:rPr>
        <w:t>,4 diidroxifenil)-1-alanina que é glicosilado resultando as betacianinas, no caso nas betaxantinas o ácido betalamico liga-se a diferentes aminoácidos derivados de amina</w:t>
      </w:r>
      <w:r>
        <w:rPr>
          <w:rFonts w:eastAsia="Calibri"/>
          <w:color w:val="auto"/>
          <w:szCs w:val="24"/>
          <w:lang w:eastAsia="en-US"/>
        </w:rPr>
        <w:t xml:space="preserve"> </w:t>
      </w:r>
      <w:r w:rsidRPr="004E4759">
        <w:rPr>
          <w:rFonts w:eastAsia="Calibri"/>
          <w:color w:val="auto"/>
          <w:szCs w:val="24"/>
          <w:lang w:eastAsia="en-US"/>
        </w:rPr>
        <w:fldChar w:fldCharType="begin" w:fldLock="1"/>
      </w:r>
      <w:r w:rsidRPr="004E4759">
        <w:rPr>
          <w:rFonts w:eastAsia="Calibri"/>
          <w:color w:val="auto"/>
          <w:szCs w:val="24"/>
          <w:lang w:eastAsia="en-US"/>
        </w:rPr>
        <w:instrText>ADDIN CSL_CITATION { "citationItems" : [ { "id" : "ITEM-1", "itemData" : { "ISBN" : "0002-9165", "ISSN" : "00029165", "PMID" : "15447903", "abstract" : "BACKGROUND: Betalains were recently identified as natural antioxidants. However, little is known about their bioavailability from dietary sources. OBJECTIVE: The objective was to evaluate the bioavailability of betalains from dietary sources. DESIGN: The plasma kinetics and urinary excretion of betalains were studied in healthy volunteers (n = 8) after a single ingestion of 500 g cactus pear fruit pulp, which provided 28 and 16 mg indicaxanthin and betanin, respectively. The incorporation of betalains in LDL and the resistance of the particles to ex vivo-induced oxidation was also researched. RESULTS: Betanin and indicaxanthin reached their maximum plasma concentrations 3 h after the fruit meal and declined according to first-order kinetics. The half-life of betanin (0.94 +/- 0.07 h) was shorter than that of indicaxanthin (2.36 +/- 0.17 h). Both compounds had disappeared from plasma by 12 h after intake. The urinary excretion of indicaxanthin and betanin over 12 h represented 76 +/- 3.0% and 3.7 +/- 0.2%, respectively, of the ingested compounds. LDL isolated 3 and 5 h after the fruit meal incorporated betalains at concentrations of 100.5 +/- 11 and 50 +/- 7.2 pmol/mg LDL protein, respectively. In addition, the particles appeared more resistant to ex vivo-induced oxidative injury than did the samples isolated before fruit ingestion (P &lt; 0.05)-the higher the amount of betalains incorporated, the higher the resistance. The concentrations of vitamin E and beta-carotene in LDL did not change significantly after fruit ingestion. CONCLUSION: Our results show that cactus pear fruit is a source of bioavailable betalains and suggest that indicaxanthin and betanin may be involved in the observed protection of LDL against ex vivo-induced oxidative modifications.", "author" : [ { "dropping-particle" : "", "family" : "Tesoriere", "given" : "Luisa", "non-dropping-particle" : "", "parse-names" : false, "suffix" : "" }, { "dropping-particle" : "", "family" : "Allegra", "given" : "Mario", "non-dropping-particle" : "", "parse-names" : false, "suffix" : "" }, { "dropping-particle" : "", "family" : "Butera", "given" : "Daniela", "non-dropping-particle" : "", "parse-names" : false, "suffix" : "" }, { "dropping-particle" : "", "family" : "Livrea", "given" : "Maria a.", "non-dropping-particle" : "", "parse-names" : false, "suffix" : "" } ], "container-title" : "American Journal of Clinical Nutrition", "id" : "ITEM-1", "issue" : "4", "issued" : { "date-parts" : [ [ "2004" ] ] }, "page" : "941-945", "title" : "Absorption, excretion, and distribution of dietary antioxidant betalains in LDLs: Potential health effects of betalains in humans", "type" : "article-journal", "volume" : "80" }, "uris" : [ "http://www.mendeley.com/documents/?uuid=f65fb5af-a22b-45e0-9c61-3ece8d01855e" ] }, { "id" : "ITEM-2", "itemData" : { "author" : [ { "dropping-particle" : "", "family" : "Semedo", "given" : "Ana", "non-dropping-particle" : "", "parse-names" : false, "suffix" : "" } ], "id" : "ITEM-2", "issued" : { "date-parts" : [ [ "2012" ] ] }, "number-of-pages" : "140", "publisher" : "Universidade de Lisboa", "title" : "Compostos bioativos de Opuntia ficus indica", "type" : "thesis" }, "uris" : [ "http://www.mendeley.com/documents/?uuid=20692b1e-f40f-4994-9b29-71ed3ee91bfb" ] } ], "mendeley" : { "formattedCitation" : "(Semedo, 2012; Tesoriere et al., 2004)", "plainTextFormattedCitation" : "(Semedo, 2012; Tesoriere et al., 2004)", "previouslyFormattedCitation" : "(Semedo, 2012; Tesoriere et al., 2004)" }, "properties" : { "noteIndex" : 0 }, "schema" : "https://github.com/citation-style-language/schema/raw/master/csl-citation.json" }</w:instrText>
      </w:r>
      <w:r w:rsidRPr="004E4759">
        <w:rPr>
          <w:rFonts w:eastAsia="Calibri"/>
          <w:color w:val="auto"/>
          <w:szCs w:val="24"/>
          <w:lang w:eastAsia="en-US"/>
        </w:rPr>
        <w:fldChar w:fldCharType="separate"/>
      </w:r>
      <w:r w:rsidRPr="004E4759">
        <w:rPr>
          <w:rFonts w:eastAsia="Calibri"/>
          <w:noProof/>
          <w:color w:val="auto"/>
          <w:szCs w:val="24"/>
          <w:lang w:eastAsia="en-US"/>
        </w:rPr>
        <w:t>(Semedo, 2012; Tesoriere et al., 2004)</w:t>
      </w:r>
      <w:r w:rsidRPr="004E4759">
        <w:rPr>
          <w:rFonts w:eastAsia="Calibri"/>
          <w:color w:val="auto"/>
          <w:szCs w:val="24"/>
          <w:lang w:eastAsia="en-US"/>
        </w:rPr>
        <w:fldChar w:fldCharType="end"/>
      </w:r>
      <w:r w:rsidRPr="004E4759">
        <w:rPr>
          <w:rFonts w:eastAsia="Calibri"/>
          <w:color w:val="auto"/>
          <w:szCs w:val="24"/>
          <w:lang w:eastAsia="en-US"/>
        </w:rPr>
        <w:t>.</w:t>
      </w:r>
    </w:p>
    <w:p w14:paraId="64DBA184" w14:textId="77777777" w:rsidR="00BC4D2E" w:rsidRDefault="00BC4D2E" w:rsidP="00BC4D2E">
      <w:pPr>
        <w:spacing w:after="200" w:line="360" w:lineRule="auto"/>
        <w:ind w:left="0" w:right="0" w:firstLine="0"/>
        <w:rPr>
          <w:rFonts w:eastAsia="Calibri"/>
          <w:color w:val="auto"/>
          <w:szCs w:val="24"/>
          <w:lang w:eastAsia="en-US"/>
        </w:rPr>
      </w:pPr>
      <w:r>
        <w:rPr>
          <w:rFonts w:eastAsia="Calibri"/>
          <w:color w:val="auto"/>
          <w:szCs w:val="24"/>
          <w:lang w:eastAsia="en-US"/>
        </w:rPr>
        <w:t>As fontes mais conhecidas de betalaínas são a beterraba, as acelgas e o figo da índia, normalmente são encontradas nas raízes, frutos e flores.</w:t>
      </w:r>
    </w:p>
    <w:p w14:paraId="58D04082" w14:textId="0346DB31" w:rsidR="00BC4D2E" w:rsidRPr="00641056" w:rsidRDefault="00BC4D2E" w:rsidP="00BC4D2E">
      <w:pPr>
        <w:autoSpaceDE w:val="0"/>
        <w:autoSpaceDN w:val="0"/>
        <w:adjustRightInd w:val="0"/>
        <w:spacing w:after="200" w:line="360" w:lineRule="auto"/>
        <w:ind w:left="0" w:right="0" w:firstLine="0"/>
        <w:rPr>
          <w:rFonts w:eastAsiaTheme="minorHAnsi"/>
          <w:color w:val="auto"/>
          <w:sz w:val="20"/>
          <w:szCs w:val="20"/>
          <w:lang w:eastAsia="en-US"/>
        </w:rPr>
      </w:pPr>
      <w:r>
        <w:rPr>
          <w:rFonts w:eastAsia="Calibri"/>
          <w:color w:val="auto"/>
          <w:szCs w:val="24"/>
          <w:lang w:eastAsia="en-US"/>
        </w:rPr>
        <w:t xml:space="preserve">Estas apresentam alguma atividade antioxidante e anticancerígena, captando radicais livres </w:t>
      </w:r>
      <w:r>
        <w:rPr>
          <w:rFonts w:eastAsia="Calibri"/>
          <w:color w:val="auto"/>
          <w:szCs w:val="24"/>
          <w:lang w:eastAsia="en-US"/>
        </w:rPr>
        <w:fldChar w:fldCharType="begin" w:fldLock="1"/>
      </w:r>
      <w:r>
        <w:rPr>
          <w:rFonts w:eastAsia="Calibri"/>
          <w:color w:val="auto"/>
          <w:szCs w:val="24"/>
          <w:lang w:eastAsia="en-US"/>
        </w:rPr>
        <w:instrText>ADDIN CSL_CITATION { "citationItems" : [ { "id" : "ITEM-1", "itemData" : { "URL" : "http://www.profitocoop.com.ar/articulos/Betala%EDnas.pdf", "accessed" : { "date-parts" : [ [ "2017", "4", "1" ] ] }, "author" : [ { "dropping-particle" : "", "family" : "Wilson", "given" : "Erica", "non-dropping-particle" : "", "parse-names" : false, "suffix" : "" } ], "container-title" : "Profitocoop", "id" : "ITEM-1", "issued" : { "date-parts" : [ [ "0" ] ] }, "title" : "Betala\u00ednas: colorantes naturales con actividad antioxidante.", "type" : "webpage" }, "uris" : [ "http://www.mendeley.com/documents/?uuid=940d9564-ba63-4532-8d30-0ddce1d71199" ] } ], "mendeley" : { "formattedCitation" : "(Wilson, n.d.)", "plainTextFormattedCitation" : "(Wilson, n.d.)", "previouslyFormattedCitation" : "(Wilson, n.d.)" }, "properties" : { "noteIndex" : 0 }, "schema" : "https://github.com/citation-style-language/schema/raw/master/csl-citation.json" }</w:instrText>
      </w:r>
      <w:r>
        <w:rPr>
          <w:rFonts w:eastAsia="Calibri"/>
          <w:color w:val="auto"/>
          <w:szCs w:val="24"/>
          <w:lang w:eastAsia="en-US"/>
        </w:rPr>
        <w:fldChar w:fldCharType="separate"/>
      </w:r>
      <w:r w:rsidRPr="00084563">
        <w:rPr>
          <w:rFonts w:eastAsia="Calibri"/>
          <w:noProof/>
          <w:color w:val="auto"/>
          <w:szCs w:val="24"/>
          <w:lang w:eastAsia="en-US"/>
        </w:rPr>
        <w:t>(Wilson, n.d.)</w:t>
      </w:r>
      <w:r>
        <w:rPr>
          <w:rFonts w:eastAsia="Calibri"/>
          <w:color w:val="auto"/>
          <w:szCs w:val="24"/>
          <w:lang w:eastAsia="en-US"/>
        </w:rPr>
        <w:fldChar w:fldCharType="end"/>
      </w:r>
      <w:r>
        <w:rPr>
          <w:rFonts w:eastAsia="Calibri"/>
          <w:color w:val="auto"/>
          <w:szCs w:val="24"/>
          <w:lang w:eastAsia="en-US"/>
        </w:rPr>
        <w:t xml:space="preserve"> . </w:t>
      </w:r>
      <w:r w:rsidRPr="00641056">
        <w:rPr>
          <w:rFonts w:eastAsiaTheme="minorHAnsi"/>
          <w:color w:val="auto"/>
          <w:szCs w:val="24"/>
          <w:lang w:eastAsia="en-US"/>
        </w:rPr>
        <w:t>Um estudo investigou os efeitos de uma suplementação</w:t>
      </w:r>
      <w:r>
        <w:rPr>
          <w:rFonts w:eastAsiaTheme="minorHAnsi"/>
          <w:color w:val="auto"/>
          <w:szCs w:val="24"/>
          <w:lang w:eastAsia="en-US"/>
        </w:rPr>
        <w:t xml:space="preserve"> </w:t>
      </w:r>
      <w:r w:rsidRPr="00641056">
        <w:rPr>
          <w:rFonts w:eastAsiaTheme="minorHAnsi"/>
          <w:color w:val="auto"/>
          <w:szCs w:val="24"/>
          <w:lang w:eastAsia="en-US"/>
        </w:rPr>
        <w:t xml:space="preserve">a curto prazo de 250 g da polpa </w:t>
      </w:r>
      <w:r>
        <w:rPr>
          <w:rFonts w:eastAsiaTheme="minorHAnsi"/>
          <w:color w:val="auto"/>
          <w:szCs w:val="24"/>
          <w:lang w:eastAsia="en-US"/>
        </w:rPr>
        <w:t>de figo da índia</w:t>
      </w:r>
      <w:r>
        <w:rPr>
          <w:rFonts w:eastAsiaTheme="minorHAnsi"/>
          <w:i/>
          <w:iCs/>
          <w:color w:val="auto"/>
          <w:szCs w:val="24"/>
          <w:lang w:eastAsia="en-US"/>
        </w:rPr>
        <w:t xml:space="preserve"> </w:t>
      </w:r>
      <w:r w:rsidRPr="00641056">
        <w:rPr>
          <w:rFonts w:eastAsiaTheme="minorHAnsi"/>
          <w:color w:val="auto"/>
          <w:szCs w:val="24"/>
          <w:lang w:eastAsia="en-US"/>
        </w:rPr>
        <w:t>comparada a suplementação de vitamina C sozinha (75 mg)</w:t>
      </w:r>
      <w:r>
        <w:rPr>
          <w:rFonts w:eastAsiaTheme="minorHAnsi"/>
          <w:color w:val="auto"/>
          <w:szCs w:val="24"/>
          <w:lang w:eastAsia="en-US"/>
        </w:rPr>
        <w:t xml:space="preserve"> </w:t>
      </w:r>
      <w:r w:rsidRPr="00641056">
        <w:rPr>
          <w:rFonts w:eastAsiaTheme="minorHAnsi"/>
          <w:color w:val="auto"/>
          <w:szCs w:val="24"/>
          <w:lang w:eastAsia="en-US"/>
        </w:rPr>
        <w:t xml:space="preserve">no </w:t>
      </w:r>
      <w:proofErr w:type="gramStart"/>
      <w:r w:rsidRPr="00641056">
        <w:rPr>
          <w:rFonts w:eastAsiaTheme="minorHAnsi"/>
          <w:i/>
          <w:iCs/>
          <w:color w:val="auto"/>
          <w:szCs w:val="24"/>
          <w:lang w:eastAsia="en-US"/>
        </w:rPr>
        <w:t>status</w:t>
      </w:r>
      <w:proofErr w:type="gramEnd"/>
      <w:r w:rsidRPr="00641056">
        <w:rPr>
          <w:rFonts w:eastAsiaTheme="minorHAnsi"/>
          <w:i/>
          <w:iCs/>
          <w:color w:val="auto"/>
          <w:szCs w:val="24"/>
          <w:lang w:eastAsia="en-US"/>
        </w:rPr>
        <w:t xml:space="preserve"> </w:t>
      </w:r>
      <w:r w:rsidRPr="00641056">
        <w:rPr>
          <w:rFonts w:eastAsiaTheme="minorHAnsi"/>
          <w:color w:val="auto"/>
          <w:szCs w:val="24"/>
          <w:lang w:eastAsia="en-US"/>
        </w:rPr>
        <w:t>oxidativo corporal to</w:t>
      </w:r>
      <w:r w:rsidRPr="00EC2230">
        <w:rPr>
          <w:rFonts w:eastAsiaTheme="minorHAnsi"/>
          <w:color w:val="auto"/>
          <w:szCs w:val="24"/>
          <w:lang w:eastAsia="en-US"/>
        </w:rPr>
        <w:t>tal em 18 voluntários saudáveis</w:t>
      </w:r>
      <w:r>
        <w:rPr>
          <w:rFonts w:eastAsiaTheme="minorHAnsi"/>
          <w:color w:val="auto"/>
          <w:szCs w:val="24"/>
          <w:lang w:eastAsia="en-US"/>
        </w:rPr>
        <w:t>.</w:t>
      </w:r>
      <w:r w:rsidRPr="00641056">
        <w:rPr>
          <w:rFonts w:eastAsiaTheme="minorHAnsi"/>
          <w:color w:val="auto"/>
          <w:szCs w:val="24"/>
          <w:lang w:eastAsia="en-US"/>
        </w:rPr>
        <w:t xml:space="preserve"> O consumo desta fruta afetou positivamente o balanço</w:t>
      </w:r>
      <w:r>
        <w:rPr>
          <w:rFonts w:eastAsiaTheme="minorHAnsi"/>
          <w:color w:val="auto"/>
          <w:szCs w:val="24"/>
          <w:lang w:eastAsia="en-US"/>
        </w:rPr>
        <w:t xml:space="preserve"> </w:t>
      </w:r>
      <w:r w:rsidRPr="00641056">
        <w:rPr>
          <w:rFonts w:eastAsiaTheme="minorHAnsi"/>
          <w:color w:val="auto"/>
          <w:szCs w:val="24"/>
          <w:lang w:eastAsia="en-US"/>
        </w:rPr>
        <w:t>redox do corpo, diminuiu o dano oxidativo aos lipídios</w:t>
      </w:r>
      <w:r>
        <w:rPr>
          <w:rFonts w:eastAsiaTheme="minorHAnsi"/>
          <w:color w:val="auto"/>
          <w:sz w:val="20"/>
          <w:szCs w:val="20"/>
          <w:lang w:eastAsia="en-US"/>
        </w:rPr>
        <w:t xml:space="preserve"> </w:t>
      </w:r>
      <w:r w:rsidRPr="00641056">
        <w:rPr>
          <w:rFonts w:eastAsiaTheme="minorHAnsi"/>
          <w:color w:val="auto"/>
          <w:szCs w:val="24"/>
          <w:lang w:eastAsia="en-US"/>
        </w:rPr>
        <w:t xml:space="preserve">e aumentou o </w:t>
      </w:r>
      <w:proofErr w:type="gramStart"/>
      <w:r w:rsidRPr="00641056">
        <w:rPr>
          <w:rFonts w:eastAsiaTheme="minorHAnsi"/>
          <w:i/>
          <w:iCs/>
          <w:color w:val="auto"/>
          <w:szCs w:val="24"/>
          <w:lang w:eastAsia="en-US"/>
        </w:rPr>
        <w:t>status</w:t>
      </w:r>
      <w:proofErr w:type="gramEnd"/>
      <w:r w:rsidRPr="00641056">
        <w:rPr>
          <w:rFonts w:eastAsiaTheme="minorHAnsi"/>
          <w:i/>
          <w:iCs/>
          <w:color w:val="auto"/>
          <w:szCs w:val="24"/>
          <w:lang w:eastAsia="en-US"/>
        </w:rPr>
        <w:t xml:space="preserve"> </w:t>
      </w:r>
      <w:r w:rsidRPr="00641056">
        <w:rPr>
          <w:rFonts w:eastAsiaTheme="minorHAnsi"/>
          <w:color w:val="auto"/>
          <w:szCs w:val="24"/>
          <w:lang w:eastAsia="en-US"/>
        </w:rPr>
        <w:t>antioxidante</w:t>
      </w:r>
      <w:r>
        <w:rPr>
          <w:rFonts w:eastAsiaTheme="minorHAnsi"/>
          <w:color w:val="auto"/>
          <w:szCs w:val="24"/>
          <w:lang w:eastAsia="en-US"/>
        </w:rPr>
        <w:t xml:space="preserve"> (Tesoriere et al., 2004). Contudo, </w:t>
      </w:r>
      <w:r>
        <w:rPr>
          <w:rFonts w:eastAsia="Calibri"/>
          <w:color w:val="auto"/>
          <w:szCs w:val="24"/>
          <w:lang w:eastAsia="en-US"/>
        </w:rPr>
        <w:t xml:space="preserve">das betalaínas são procuradas como corantes naturais, são usadas como substituídos dos corantes sintéticos, que possam ter efeitos tóxicos nas pessoas. A sua cor é considerada um importante atributo para um alimento, aumentando a sua atratividade. </w:t>
      </w:r>
      <w:r>
        <w:rPr>
          <w:bCs/>
          <w:color w:val="auto"/>
          <w:szCs w:val="24"/>
          <w:lang w:eastAsia="pt-BR"/>
        </w:rPr>
        <w:t>Assim, as</w:t>
      </w:r>
      <w:r w:rsidRPr="003516A7">
        <w:rPr>
          <w:bCs/>
          <w:color w:val="auto"/>
          <w:szCs w:val="24"/>
          <w:lang w:eastAsia="pt-BR"/>
        </w:rPr>
        <w:t xml:space="preserve"> betalaínas</w:t>
      </w:r>
      <w:r>
        <w:rPr>
          <w:bCs/>
          <w:color w:val="auto"/>
          <w:szCs w:val="24"/>
          <w:lang w:eastAsia="pt-BR"/>
        </w:rPr>
        <w:t xml:space="preserve"> </w:t>
      </w:r>
      <w:r w:rsidRPr="003516A7">
        <w:rPr>
          <w:bCs/>
          <w:color w:val="auto"/>
          <w:szCs w:val="24"/>
          <w:lang w:eastAsia="pt-BR"/>
        </w:rPr>
        <w:t>são usadas</w:t>
      </w:r>
      <w:r>
        <w:rPr>
          <w:bCs/>
          <w:color w:val="auto"/>
          <w:szCs w:val="24"/>
          <w:lang w:eastAsia="pt-BR"/>
        </w:rPr>
        <w:t>, algumas vezes,</w:t>
      </w:r>
      <w:r w:rsidRPr="003516A7">
        <w:rPr>
          <w:bCs/>
          <w:color w:val="auto"/>
          <w:szCs w:val="24"/>
          <w:lang w:eastAsia="pt-BR"/>
        </w:rPr>
        <w:t xml:space="preserve"> para colorir diversos produtos alimentares </w:t>
      </w:r>
      <w:r w:rsidRPr="003516A7">
        <w:rPr>
          <w:bCs/>
          <w:color w:val="auto"/>
          <w:szCs w:val="24"/>
          <w:lang w:eastAsia="pt-BR"/>
        </w:rPr>
        <w:fldChar w:fldCharType="begin" w:fldLock="1"/>
      </w:r>
      <w:r w:rsidR="00D73AD0">
        <w:rPr>
          <w:bCs/>
          <w:color w:val="auto"/>
          <w:szCs w:val="24"/>
          <w:lang w:eastAsia="pt-BR"/>
        </w:rPr>
        <w:instrText>ADDIN CSL_CITATION { "citationItems" : [ { "id" : "ITEM-1", "itemData" : { "ISSN" : "19386648", "author" : [ { "dropping-particle" : "El", "family" : "Samahy", "given" : "S K", "non-dropping-particle" : "", "parse-names" : false, "suffix" : "" }, { "dropping-particle" : "", "family" : "Youssef", "given" : "K M", "non-dropping-particle" : "", "parse-names" : false, "suffix" : "" }, { "dropping-particle" : "", "family" : "Moussa-Ayoub", "given" : "T E", "non-dropping-particle" : "", "parse-names" : false, "suffix" : "" } ], "container-title" : "Journal of the Professional Association for Cactus Development", "id" : "ITEM-1", "issued" : { "date-parts" : [ [ "2009" ] ] }, "page" : "1-12", "title" : "Producing ice cream with concentrated cactus pear pulp: a preliminary study", "type" : "article-journal", "volume" : "11" }, "uris" : [ "http://www.mendeley.com/documents/?uuid=4104bc50-3913-4325-8feb-e6f9e166bd86" ] } ], "mendeley" : { "formattedCitation" : "(Samahy, Youssef, &amp; Moussa-Ayoub, 2009)", "manualFormatting" : "(Samahy et al., 2009)", "plainTextFormattedCitation" : "(Samahy, Youssef, &amp; Moussa-Ayoub, 2009)", "previouslyFormattedCitation" : "(Samahy, Youssef, &amp; Moussa-Ayoub, 2009)" }, "properties" : { "noteIndex" : 0 }, "schema" : "https://github.com/citation-style-language/schema/raw/master/csl-citation.json" }</w:instrText>
      </w:r>
      <w:r w:rsidRPr="003516A7">
        <w:rPr>
          <w:bCs/>
          <w:color w:val="auto"/>
          <w:szCs w:val="24"/>
          <w:lang w:eastAsia="pt-BR"/>
        </w:rPr>
        <w:fldChar w:fldCharType="separate"/>
      </w:r>
      <w:r w:rsidR="009A72E6" w:rsidRPr="009A72E6">
        <w:rPr>
          <w:bCs/>
          <w:noProof/>
          <w:color w:val="auto"/>
          <w:szCs w:val="24"/>
          <w:lang w:eastAsia="pt-BR"/>
        </w:rPr>
        <w:t>(Samahy</w:t>
      </w:r>
      <w:r w:rsidR="002521DE">
        <w:rPr>
          <w:bCs/>
          <w:noProof/>
          <w:color w:val="auto"/>
          <w:szCs w:val="24"/>
          <w:lang w:eastAsia="pt-BR"/>
        </w:rPr>
        <w:t xml:space="preserve"> et al.</w:t>
      </w:r>
      <w:r w:rsidR="009A72E6" w:rsidRPr="009A72E6">
        <w:rPr>
          <w:bCs/>
          <w:noProof/>
          <w:color w:val="auto"/>
          <w:szCs w:val="24"/>
          <w:lang w:eastAsia="pt-BR"/>
        </w:rPr>
        <w:t>, 2009)</w:t>
      </w:r>
      <w:r w:rsidRPr="003516A7">
        <w:rPr>
          <w:bCs/>
          <w:color w:val="auto"/>
          <w:szCs w:val="24"/>
          <w:lang w:eastAsia="pt-BR"/>
        </w:rPr>
        <w:fldChar w:fldCharType="end"/>
      </w:r>
      <w:r w:rsidRPr="003516A7">
        <w:rPr>
          <w:bCs/>
          <w:color w:val="auto"/>
          <w:szCs w:val="24"/>
          <w:lang w:eastAsia="pt-BR"/>
        </w:rPr>
        <w:t>.</w:t>
      </w:r>
    </w:p>
    <w:p w14:paraId="4847A939" w14:textId="1C10A255" w:rsidR="00BC4D2E" w:rsidRDefault="00BC4D2E" w:rsidP="00BC4D2E">
      <w:pPr>
        <w:spacing w:after="200" w:line="360" w:lineRule="auto"/>
        <w:ind w:left="0" w:right="0" w:firstLine="0"/>
        <w:rPr>
          <w:rFonts w:eastAsia="Calibri"/>
          <w:color w:val="auto"/>
          <w:szCs w:val="24"/>
          <w:lang w:eastAsia="en-US"/>
        </w:rPr>
      </w:pPr>
      <w:r>
        <w:rPr>
          <w:rFonts w:eastAsia="Calibri"/>
          <w:color w:val="auto"/>
          <w:szCs w:val="24"/>
          <w:lang w:eastAsia="en-US"/>
        </w:rPr>
        <w:t>No entanto, para serem usadas tem que ter estabilidade a longo prazo suportar processos industriais e interação com outros componentes alimentares. Existem fatores que podem alterar a qualidade das betalaínas, como uma estabilidade a pH 5 e 6, degradam na presença de luz, oxidáveis, hidrolisam na presença de catião de metal e a temperatura pode alterar a cor, contudo, os antioxidan</w:t>
      </w:r>
      <w:r w:rsidR="002521DE">
        <w:rPr>
          <w:rFonts w:eastAsia="Calibri"/>
          <w:color w:val="auto"/>
          <w:szCs w:val="24"/>
          <w:lang w:eastAsia="en-US"/>
        </w:rPr>
        <w:t>tes estabilizam as betalaínas</w:t>
      </w:r>
      <w:r>
        <w:rPr>
          <w:rFonts w:eastAsia="Calibri"/>
          <w:color w:val="auto"/>
          <w:szCs w:val="24"/>
          <w:lang w:eastAsia="en-US"/>
        </w:rPr>
        <w:t xml:space="preserve"> </w:t>
      </w:r>
      <w:r>
        <w:rPr>
          <w:rFonts w:eastAsia="Calibri"/>
          <w:color w:val="auto"/>
          <w:szCs w:val="24"/>
          <w:lang w:eastAsia="en-US"/>
        </w:rPr>
        <w:fldChar w:fldCharType="begin" w:fldLock="1"/>
      </w:r>
      <w:r>
        <w:rPr>
          <w:rFonts w:eastAsia="Calibri"/>
          <w:color w:val="auto"/>
          <w:szCs w:val="24"/>
          <w:lang w:eastAsia="en-US"/>
        </w:rPr>
        <w:instrText>ADDIN CSL_CITATION { "citationItems" : [ { "id" : "ITEM-1", "itemData" : { "URL" : "http://www.profitocoop.com.ar/articulos/Betala%EDnas.pdf", "accessed" : { "date-parts" : [ [ "2017", "4", "1" ] ] }, "author" : [ { "dropping-particle" : "", "family" : "Wilson", "given" : "Erica", "non-dropping-particle" : "", "parse-names" : false, "suffix" : "" } ], "container-title" : "Profitocoop", "id" : "ITEM-1", "issued" : { "date-parts" : [ [ "0" ] ] }, "title" : "Betala\u00ednas: colorantes naturales con actividad antioxidante.", "type" : "webpage" }, "uris" : [ "http://www.mendeley.com/documents/?uuid=940d9564-ba63-4532-8d30-0ddce1d71199" ] } ], "mendeley" : { "formattedCitation" : "(Wilson, n.d.)", "plainTextFormattedCitation" : "(Wilson, n.d.)", "previouslyFormattedCitation" : "(Wilson, n.d.)" }, "properties" : { "noteIndex" : 0 }, "schema" : "https://github.com/citation-style-language/schema/raw/master/csl-citation.json" }</w:instrText>
      </w:r>
      <w:r>
        <w:rPr>
          <w:rFonts w:eastAsia="Calibri"/>
          <w:color w:val="auto"/>
          <w:szCs w:val="24"/>
          <w:lang w:eastAsia="en-US"/>
        </w:rPr>
        <w:fldChar w:fldCharType="separate"/>
      </w:r>
      <w:r w:rsidRPr="00EA1327">
        <w:rPr>
          <w:rFonts w:eastAsia="Calibri"/>
          <w:noProof/>
          <w:color w:val="auto"/>
          <w:szCs w:val="24"/>
          <w:lang w:eastAsia="en-US"/>
        </w:rPr>
        <w:t>(Wilson, n.d.)</w:t>
      </w:r>
      <w:r>
        <w:rPr>
          <w:rFonts w:eastAsia="Calibri"/>
          <w:color w:val="auto"/>
          <w:szCs w:val="24"/>
          <w:lang w:eastAsia="en-US"/>
        </w:rPr>
        <w:fldChar w:fldCharType="end"/>
      </w:r>
    </w:p>
    <w:p w14:paraId="0033BC10" w14:textId="77777777" w:rsidR="00BC4D2E" w:rsidRPr="005745BD" w:rsidRDefault="00BC4D2E" w:rsidP="00BC4D2E">
      <w:pPr>
        <w:spacing w:after="200" w:line="360" w:lineRule="auto"/>
        <w:ind w:left="0" w:right="0" w:firstLine="0"/>
        <w:rPr>
          <w:rFonts w:eastAsia="Calibri"/>
          <w:color w:val="auto"/>
          <w:szCs w:val="24"/>
          <w:lang w:eastAsia="en-US"/>
        </w:rPr>
      </w:pPr>
      <w:r>
        <w:rPr>
          <w:rFonts w:eastAsia="Calibri"/>
          <w:color w:val="auto"/>
          <w:szCs w:val="24"/>
          <w:lang w:eastAsia="en-US"/>
        </w:rPr>
        <w:t xml:space="preserve">Devido a grande variedade de cores e agradável sabor do figo da índia são uma boa escolha para extração de betalaínas. </w:t>
      </w:r>
      <w:r>
        <w:rPr>
          <w:rFonts w:eastAsia="Calibri"/>
          <w:color w:val="auto"/>
          <w:szCs w:val="24"/>
          <w:lang w:eastAsia="en-US"/>
        </w:rPr>
        <w:fldChar w:fldCharType="begin" w:fldLock="1"/>
      </w:r>
      <w:r>
        <w:rPr>
          <w:rFonts w:eastAsia="Calibri"/>
          <w:color w:val="auto"/>
          <w:szCs w:val="24"/>
          <w:lang w:eastAsia="en-US"/>
        </w:rPr>
        <w:instrText>ADDIN CSL_CITATION { "citationItems" : [ { "id" : "ITEM-1", "itemData" : { "URL" : "http://www.profitocoop.com.ar/articulos/Betala%EDnas.pdf", "accessed" : { "date-parts" : [ [ "2017", "4", "1" ] ] }, "author" : [ { "dropping-particle" : "", "family" : "Wilson", "given" : "Erica", "non-dropping-particle" : "", "parse-names" : false, "suffix" : "" } ], "container-title" : "Profitocoop", "id" : "ITEM-1", "issued" : { "date-parts" : [ [ "0" ] ] }, "title" : "Betala\u00ednas: colorantes naturales con actividad antioxidante.", "type" : "webpage" }, "uris" : [ "http://www.mendeley.com/documents/?uuid=940d9564-ba63-4532-8d30-0ddce1d71199" ] } ], "mendeley" : { "formattedCitation" : "(Wilson, n.d.)", "plainTextFormattedCitation" : "(Wilson, n.d.)", "previouslyFormattedCitation" : "(Wilson, n.d.)" }, "properties" : { "noteIndex" : 0 }, "schema" : "https://github.com/citation-style-language/schema/raw/master/csl-citation.json" }</w:instrText>
      </w:r>
      <w:r>
        <w:rPr>
          <w:rFonts w:eastAsia="Calibri"/>
          <w:color w:val="auto"/>
          <w:szCs w:val="24"/>
          <w:lang w:eastAsia="en-US"/>
        </w:rPr>
        <w:fldChar w:fldCharType="separate"/>
      </w:r>
      <w:r w:rsidRPr="00EA1327">
        <w:rPr>
          <w:rFonts w:eastAsia="Calibri"/>
          <w:noProof/>
          <w:color w:val="auto"/>
          <w:szCs w:val="24"/>
          <w:lang w:eastAsia="en-US"/>
        </w:rPr>
        <w:t>(Wilson, n.d.)</w:t>
      </w:r>
      <w:r>
        <w:rPr>
          <w:rFonts w:eastAsia="Calibri"/>
          <w:color w:val="auto"/>
          <w:szCs w:val="24"/>
          <w:lang w:eastAsia="en-US"/>
        </w:rPr>
        <w:fldChar w:fldCharType="end"/>
      </w:r>
    </w:p>
    <w:p w14:paraId="41F4AC93" w14:textId="58779661" w:rsidR="00F23D90" w:rsidRPr="007B34A4" w:rsidRDefault="00F23D90" w:rsidP="007B34A4">
      <w:pPr>
        <w:spacing w:after="200" w:line="360" w:lineRule="auto"/>
        <w:ind w:left="0" w:right="0" w:firstLine="0"/>
        <w:rPr>
          <w:color w:val="auto"/>
          <w:szCs w:val="24"/>
          <w:lang w:eastAsia="en-US"/>
        </w:rPr>
      </w:pPr>
    </w:p>
    <w:p w14:paraId="628D5226" w14:textId="77777777" w:rsidR="003516A7" w:rsidRPr="008474BA" w:rsidRDefault="003516A7" w:rsidP="008474BA">
      <w:pPr>
        <w:pStyle w:val="Cabealho2"/>
        <w:rPr>
          <w:rFonts w:ascii="Times New Roman" w:hAnsi="Times New Roman" w:cs="Times New Roman"/>
          <w:color w:val="auto"/>
        </w:rPr>
      </w:pPr>
      <w:bookmarkStart w:id="133" w:name="_Toc462576805"/>
      <w:bookmarkStart w:id="134" w:name="_Toc479154826"/>
      <w:r w:rsidRPr="008474BA">
        <w:rPr>
          <w:rFonts w:ascii="Times New Roman" w:hAnsi="Times New Roman" w:cs="Times New Roman"/>
          <w:color w:val="auto"/>
        </w:rPr>
        <w:t xml:space="preserve">1.4. </w:t>
      </w:r>
      <w:r w:rsidRPr="006D70C4">
        <w:rPr>
          <w:rFonts w:ascii="Times New Roman" w:hAnsi="Times New Roman" w:cs="Times New Roman"/>
          <w:color w:val="auto"/>
          <w:sz w:val="24"/>
        </w:rPr>
        <w:t>Nutracêuticos</w:t>
      </w:r>
      <w:bookmarkEnd w:id="133"/>
      <w:bookmarkEnd w:id="134"/>
    </w:p>
    <w:p w14:paraId="62957855" w14:textId="77777777"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35" w:name="_Toc462576806"/>
      <w:bookmarkStart w:id="136" w:name="_Toc462576843"/>
      <w:bookmarkStart w:id="137" w:name="_Toc462577955"/>
      <w:bookmarkStart w:id="138" w:name="_Toc462578589"/>
      <w:bookmarkStart w:id="139" w:name="_Toc462579052"/>
      <w:bookmarkStart w:id="140" w:name="_Toc462673440"/>
      <w:bookmarkStart w:id="141" w:name="_Toc462709764"/>
      <w:bookmarkStart w:id="142" w:name="_Toc462887953"/>
      <w:bookmarkStart w:id="143" w:name="_Toc462888047"/>
      <w:bookmarkStart w:id="144" w:name="_Toc462891328"/>
      <w:bookmarkStart w:id="145" w:name="_Toc478510881"/>
      <w:bookmarkStart w:id="146" w:name="_Toc479154480"/>
      <w:bookmarkStart w:id="147" w:name="_Toc479154827"/>
      <w:r w:rsidRPr="003516A7">
        <w:rPr>
          <w:bCs/>
          <w:color w:val="auto"/>
          <w:szCs w:val="24"/>
          <w:lang w:eastAsia="pt-BR"/>
        </w:rPr>
        <w:t xml:space="preserve">Os nutracêuticos são alimentos ou partes de alimentos que podem trazer benefícios à saúde humana, pois previnem ou retardam o aparecimento de doenças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"ISSN" : "1808-0804", "abstract" : "Several factores affect the quality of modern life, therefore the population should be aware about the importance of foods containing substances that promote health, causing an improvement in the nutricional state. The incident of death due to cardiovascular problems, cancer, arteriosclerosos, hepatic diseases, among others, might be controlled trought good habits of feeding. Functional foods and nutraceutics have been considered to be synonymous. However, functional foods must be in the form of regular foods, be consumed as part of the diet and produce specific benefits to health, such as the reducing of the risk of several diseases and the maintenance of mental and physical well-being. The biologically active substances found in functional foods can be classified in groups, which will be presented in the development of this paper, for their important benefits to health. On the other hand, nutraceuticals are foods or part of foods that bring benefits to health, including prevention and/or treatment of diseases. It may include the isolated nutrients, dietary supplements, designed products, herbal products and processed foods. The aim of this work was to compare functional foods and nutraceuticals, based on definition and legislation, presenting the different classes of these compounds their beneficial effects to health.", "author" : [ { "dropping-particle" : "", "family" : "Moraes", "given" : "Fernanda P.", "non-dropping-particle" : "", "parse-names" : false, "suffix" : "" }, { "dropping-particle" : "", "family" : "Colla", "given" : "Luciane M.", "non-dropping-particle" : "", "parse-names" : false, "suffix" : "" } ], "container-title" : "Revista Eletr\u00f4nica de Farm\u00e1cia", "id" : "ITEM-1", "issue" : "2", "issued" : { "date-parts" : [ [ "2006" ] ] }, "page" : "109-122", "title" : "Alimentos Funcionais E Nutrac\u00eauticos: Defini\u00e7\u00f5es, Legisla\u00e7\u00e3o E Benef\u00edcios \u00c0 Sa\u00fade.", "type" : "article-journal", "volume" : "3" }, "uris" : [ "http://www.mendeley.com/documents/?uuid=06157941-3dba-4e06-b57a-cbc13219996d" ] }, { "id" : "ITEM-2", "itemData" : { "DOI" : "10.1080/10611860400003817", "author" : [ { "dropping-particle" : "", "family" : "Shoji", "given" : "Yoko", "non-dropping-particle" : "", "parse-names" : false, "suffix" : "" }, { "dropping-particle" : "", "family" : "Nakashimaa", "given" : "Hideki", "non-dropping-particle" : "", "parse-names" : false, "suffix" : "" } ], "container-title" : "Journal of Drugs targeting", "id" : "ITEM-2", "issue" : "6", "issued" : { "date-parts" : [ [ "2004" ] ] }, "page" : "385-391", "title" : "Nutraceutics and delivery systems", "type" : "article-journal", "volume" : "12" }, "uris" : [ "http://www.mendeley.com/documents/?uuid=297cf73f-98e8-4beb-bc05-c2a293a2883a" ] } ], "mendeley" : { "formattedCitation" : "(Moraes &amp; Colla, 2006; Shoji &amp; Nakashimaa, 2004)", "plainTextFormattedCitation" : "(Moraes &amp; Colla, 2006; Shoji &amp; Nakashimaa, 2004)", "previouslyFormattedCitation" : "(Moraes &amp; Colla, 2006; Shoji &amp; Nakashimaa, 2004)"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(Moraes &amp; Colla, 2006; Shoji &amp; Nakashimaa, 2004)</w:t>
      </w:r>
      <w:r w:rsidRPr="003516A7">
        <w:rPr>
          <w:bCs/>
          <w:color w:val="auto"/>
          <w:szCs w:val="24"/>
          <w:lang w:eastAsia="pt-BR"/>
        </w:rPr>
        <w:fldChar w:fldCharType="end"/>
      </w:r>
      <w:r w:rsidRPr="003516A7">
        <w:rPr>
          <w:bCs/>
          <w:color w:val="auto"/>
          <w:szCs w:val="24"/>
          <w:lang w:eastAsia="pt-BR"/>
        </w:rPr>
        <w:t>.</w:t>
      </w:r>
      <w:bookmarkEnd w:id="135"/>
      <w:bookmarkEnd w:id="136"/>
      <w:bookmarkEnd w:id="137"/>
      <w:bookmarkEnd w:id="138"/>
      <w:bookmarkEnd w:id="139"/>
      <w:bookmarkEnd w:id="140"/>
      <w:bookmarkEnd w:id="141"/>
      <w:bookmarkEnd w:id="142"/>
      <w:bookmarkEnd w:id="143"/>
      <w:bookmarkEnd w:id="144"/>
      <w:bookmarkEnd w:id="145"/>
      <w:bookmarkEnd w:id="146"/>
      <w:bookmarkEnd w:id="147"/>
    </w:p>
    <w:p w14:paraId="1B3650BD" w14:textId="41CB721F"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48" w:name="_Toc462576807"/>
      <w:bookmarkStart w:id="149" w:name="_Toc462576844"/>
      <w:bookmarkStart w:id="150" w:name="_Toc462577956"/>
      <w:bookmarkStart w:id="151" w:name="_Toc462578590"/>
      <w:bookmarkStart w:id="152" w:name="_Toc462579053"/>
      <w:bookmarkStart w:id="153" w:name="_Toc462673441"/>
      <w:bookmarkStart w:id="154" w:name="_Toc462709765"/>
      <w:bookmarkStart w:id="155" w:name="_Toc462887954"/>
      <w:bookmarkStart w:id="156" w:name="_Toc462888048"/>
      <w:bookmarkStart w:id="157" w:name="_Toc462891329"/>
      <w:bookmarkStart w:id="158" w:name="_Toc478510882"/>
      <w:bookmarkStart w:id="159" w:name="_Toc479154481"/>
      <w:bookmarkStart w:id="160" w:name="_Toc479154828"/>
      <w:r w:rsidRPr="003516A7">
        <w:rPr>
          <w:bCs/>
          <w:color w:val="auto"/>
          <w:szCs w:val="24"/>
          <w:lang w:eastAsia="pt-BR"/>
        </w:rPr>
        <w:lastRenderedPageBreak/>
        <w:t xml:space="preserve">Hoje em dia, as tendências dietéticas que dão realce a alimentos seguros e saudáveis tendem a aumentar, bem como a procura de novos componentes de maior valor nutritivo </w:t>
      </w:r>
      <w:r w:rsidRPr="003516A7">
        <w:rPr>
          <w:bCs/>
          <w:color w:val="auto"/>
          <w:szCs w:val="24"/>
          <w:lang w:eastAsia="pt-BR"/>
        </w:rPr>
        <w:fldChar w:fldCharType="begin" w:fldLock="1"/>
      </w:r>
      <w:r w:rsidR="00C75BBE">
        <w:rPr>
          <w:bCs/>
          <w:color w:val="auto"/>
          <w:szCs w:val="24"/>
          <w:lang w:eastAsia="pt-BR"/>
        </w:rPr>
        <w:instrText>ADDIN CSL_CITATION { "citationItems" : [ { "id" : "ITEM-1",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"ITEM-1",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"mendeley" : { "formattedCitation" : "(Ashraf et al., 2011)", "plainTextFormattedCitation" : "(Ashraf et al., 2011)", "previouslyFormattedCitation" : "(Ashraf et al., 2011)"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(Ashraf et al., 2011)</w:t>
      </w:r>
      <w:r w:rsidRPr="003516A7">
        <w:rPr>
          <w:bCs/>
          <w:color w:val="auto"/>
          <w:szCs w:val="24"/>
          <w:lang w:eastAsia="pt-BR"/>
        </w:rPr>
        <w:fldChar w:fldCharType="end"/>
      </w:r>
      <w:r w:rsidRPr="003516A7">
        <w:rPr>
          <w:bCs/>
          <w:color w:val="auto"/>
          <w:szCs w:val="24"/>
          <w:lang w:eastAsia="pt-BR"/>
        </w:rPr>
        <w:t>.</w:t>
      </w:r>
      <w:bookmarkEnd w:id="148"/>
      <w:bookmarkEnd w:id="149"/>
      <w:bookmarkEnd w:id="150"/>
      <w:bookmarkEnd w:id="151"/>
      <w:bookmarkEnd w:id="152"/>
      <w:bookmarkEnd w:id="153"/>
      <w:bookmarkEnd w:id="154"/>
      <w:bookmarkEnd w:id="155"/>
      <w:bookmarkEnd w:id="156"/>
      <w:bookmarkEnd w:id="157"/>
      <w:bookmarkEnd w:id="158"/>
      <w:bookmarkEnd w:id="159"/>
      <w:bookmarkEnd w:id="160"/>
    </w:p>
    <w:p w14:paraId="0DC41FCE" w14:textId="6013DD7C"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61" w:name="_Toc462887955"/>
      <w:bookmarkStart w:id="162" w:name="_Toc462888049"/>
      <w:bookmarkStart w:id="163" w:name="_Toc462891330"/>
      <w:bookmarkStart w:id="164" w:name="_Toc478510883"/>
      <w:bookmarkStart w:id="165" w:name="_Toc479154482"/>
      <w:bookmarkStart w:id="166" w:name="_Toc479154829"/>
      <w:r w:rsidRPr="003516A7">
        <w:rPr>
          <w:bCs/>
          <w:color w:val="auto"/>
          <w:szCs w:val="24"/>
          <w:lang w:eastAsia="pt-BR"/>
        </w:rPr>
        <w:t xml:space="preserve">Existe uma ampla variedade de componentes nutricionais </w:t>
      </w:r>
      <w:r w:rsidR="000D3AF6">
        <w:rPr>
          <w:bCs/>
          <w:color w:val="auto"/>
          <w:szCs w:val="24"/>
          <w:lang w:eastAsia="pt-BR"/>
        </w:rPr>
        <w:t xml:space="preserve">que </w:t>
      </w:r>
      <w:r w:rsidRPr="003516A7">
        <w:rPr>
          <w:bCs/>
          <w:color w:val="auto"/>
          <w:szCs w:val="24"/>
          <w:lang w:eastAsia="pt-BR"/>
        </w:rPr>
        <w:t>podem abranger nutrientes tais como fibra dietética, corantes naturais, vitaminas, antioxidantes, minerais, ácidos gordos, aminoácidos, suplementos dietéticos na forma de capsulas, pó, farinha, etc., produtos</w:t>
      </w:r>
      <w:r>
        <w:rPr>
          <w:bCs/>
          <w:color w:val="auto"/>
          <w:szCs w:val="24"/>
          <w:lang w:eastAsia="pt-BR"/>
        </w:rPr>
        <w:t xml:space="preserve"> </w:t>
      </w:r>
      <w:r w:rsidRPr="003516A7">
        <w:rPr>
          <w:bCs/>
          <w:color w:val="auto"/>
          <w:szCs w:val="24"/>
          <w:lang w:eastAsia="pt-BR"/>
        </w:rPr>
        <w:t xml:space="preserve">herbais e alimentos processados como cereais, sopa e bebidas </w:t>
      </w:r>
      <w:r w:rsidRPr="003516A7">
        <w:rPr>
          <w:bCs/>
          <w:color w:val="auto"/>
          <w:szCs w:val="24"/>
          <w:lang w:eastAsia="pt-BR"/>
        </w:rPr>
        <w:fldChar w:fldCharType="begin" w:fldLock="1"/>
      </w:r>
      <w:r w:rsidR="00C75BBE">
        <w:rPr>
          <w:bCs/>
          <w:color w:val="auto"/>
          <w:szCs w:val="24"/>
          <w:lang w:eastAsia="pt-BR"/>
        </w:rPr>
        <w:instrText>ADDIN CSL_CITATION { "citationItems" : [ { "id" : "ITEM-1",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"ITEM-1",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"id" : "ITEM-2",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"ITEM-2", "issue" : "3", "issued" : { "date-parts" : [ [ "2001" ] ] }, "page" : "176-186", "title" : "Antioxidants in health and disease", "type" : "article-journal", "volume" : "54" }, "uris" : [ "http://www.mendeley.com/documents/?uuid=9dae6719-250c-475c-b7ff-4ad47cc39442" ] }, { "id" : "ITEM-3", "itemData" : { "ISSN" : "1808-0804", "abstract" : "Several factores affect the quality of modern life, therefore the population should be aware about the importance of foods containing substances that promote health, causing an improvement in the nutricional state. The incident of death due to cardiovascular problems, cancer, arteriosclerosos, hepatic diseases, among others, might be controlled trought good habits of feeding. Functional foods and nutraceutics have been considered to be synonymous. However, functional foods must be in the form of regular foods, be consumed as part of the diet and produce specific benefits to health, such as the reducing of the risk of several diseases and the maintenance of mental and physical well-being. The biologically active substances found in functional foods can be classified in groups, which will be presented in the development of this paper, for their important benefits to health. On the other hand, nutraceuticals are foods or part of foods that bring benefits to health, including prevention and/or treatment of diseases. It may include the isolated nutrients, dietary supplements, designed products, herbal products and processed foods. The aim of this work was to compare functional foods and nutraceuticals, based on definition and legislation, presenting the different classes of these compounds their beneficial effects to health.", "author" : [ { "dropping-particle" : "", "family" : "Moraes", "given" : "Fernanda P.", "non-dropping-particle" : "", "parse-names" : false, "suffix" : "" }, { "dropping-particle" : "", "family" : "Colla", "given" : "Luciane M.", "non-dropping-particle" : "", "parse-names" : false, "suffix" : "" } ], "container-title" : "Revista Eletr\u00f4nica de Farm\u00e1cia", "id" : "ITEM-3", "issue" : "2", "issued" : { "date-parts" : [ [ "2006" ] ] }, "page" : "109-122", "title" : "Alimentos Funcionais E Nutrac\u00eauticos: Defini\u00e7\u00f5es, Legisla\u00e7\u00e3o E Benef\u00edcios \u00c0 Sa\u00fade.", "type" : "article-journal", "volume" : "3" }, "uris" : [ "http://www.mendeley.com/documents/?uuid=06157941-3dba-4e06-b57a-cbc13219996d" ] } ], "mendeley" : { "formattedCitation" : "(Ashraf et al., 2011; Moraes &amp; Colla, 2006; Young &amp; Woodside, 2001)", "plainTextFormattedCitation" : "(Ashraf et al., 2011; Moraes &amp; Colla, 2006; Young &amp; Woodside, 2001)", "previouslyFormattedCitation" : "(Ashraf et al., 2011; Moraes &amp; Colla, 2006; Young &amp; Woodside, 2001)"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(Ashraf et al., 2011; Moraes &amp; Colla, 2006; Young &amp; Woodside, 2001)</w:t>
      </w:r>
      <w:r w:rsidRPr="003516A7">
        <w:rPr>
          <w:bCs/>
          <w:color w:val="auto"/>
          <w:szCs w:val="24"/>
          <w:lang w:eastAsia="pt-BR"/>
        </w:rPr>
        <w:fldChar w:fldCharType="end"/>
      </w:r>
      <w:r w:rsidRPr="003516A7">
        <w:rPr>
          <w:bCs/>
          <w:color w:val="auto"/>
          <w:szCs w:val="24"/>
          <w:lang w:eastAsia="pt-BR"/>
        </w:rPr>
        <w:t xml:space="preserve">. Estes podem ser extraídos e usados como aditivos em preparações alimentares </w:t>
      </w:r>
      <w:r w:rsidRPr="003516A7">
        <w:rPr>
          <w:bCs/>
          <w:color w:val="auto"/>
          <w:szCs w:val="24"/>
          <w:lang w:eastAsia="pt-BR"/>
        </w:rPr>
        <w:fldChar w:fldCharType="begin" w:fldLock="1"/>
      </w:r>
      <w:r w:rsidR="00C75BBE">
        <w:rPr>
          <w:bCs/>
          <w:color w:val="auto"/>
          <w:szCs w:val="24"/>
          <w:lang w:eastAsia="pt-BR"/>
        </w:rPr>
        <w:instrText>ADDIN CSL_CITATION { "citationItems" : [ { "id" : "ITEM-1", "itemData" : { "author" : [ { "dropping-particle" : "", "family" : "Ashraf", "given" : "Nesreen M El-said", "non-dropping-particle" : "", "parse-names" : false, "suffix" : "" }, { "dropping-particle" : "", "family" : "Zeinab", "given" : "I Nagib", "non-dropping-particle" : "", "parse-names" : false, "suffix" : "" }, { "dropping-particle" : "", "family" : "Sahar", "given" : "A Rahman", "non-dropping-particle" : "", "parse-names" : false, "suffix" : "" } ], "container-title" : "Functional plant science and biotecnology", "id" : "ITEM-1", "issue" : "1", "issued" : { "date-parts" : [ [ "2011" ] ] }, "page" : "30-35", "title" : "Prickly Pear [ Opuntia ficus-indica ( L .) Mill ] Peels : Chemical Composition , Nutritional Value and Protective Effects on Liver and Kidney Functions and Cholesterol in Rats", "type" : "article-journal", "volume" : "5" }, "uris" : [ "http://www.mendeley.com/documents/?uuid=869ddc16-7ea1-4f4a-922a-7c15fd388fb5" ] } ], "mendeley" : { "formattedCitation" : "(Ashraf et al., 2011)", "plainTextFormattedCitation" : "(Ashraf et al., 2011)", "previouslyFormattedCitation" : "(Ashraf et al., 2011)"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(Ashraf et al., 2011)</w:t>
      </w:r>
      <w:r w:rsidRPr="003516A7">
        <w:rPr>
          <w:bCs/>
          <w:color w:val="auto"/>
          <w:szCs w:val="24"/>
          <w:lang w:eastAsia="pt-BR"/>
        </w:rPr>
        <w:fldChar w:fldCharType="end"/>
      </w:r>
      <w:r w:rsidRPr="003516A7">
        <w:rPr>
          <w:bCs/>
          <w:color w:val="auto"/>
          <w:szCs w:val="24"/>
          <w:lang w:eastAsia="pt-BR"/>
        </w:rPr>
        <w:t>.</w:t>
      </w:r>
      <w:bookmarkEnd w:id="161"/>
      <w:bookmarkEnd w:id="162"/>
      <w:bookmarkEnd w:id="163"/>
      <w:bookmarkEnd w:id="164"/>
      <w:bookmarkEnd w:id="165"/>
      <w:bookmarkEnd w:id="166"/>
    </w:p>
    <w:p w14:paraId="3804DDB4" w14:textId="69951400"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167" w:name="_Toc462576809"/>
      <w:bookmarkStart w:id="168" w:name="_Toc462576846"/>
      <w:bookmarkStart w:id="169" w:name="_Toc462577958"/>
      <w:bookmarkStart w:id="170" w:name="_Toc462578592"/>
      <w:bookmarkStart w:id="171" w:name="_Toc462579055"/>
      <w:bookmarkStart w:id="172" w:name="_Toc462673443"/>
      <w:bookmarkStart w:id="173" w:name="_Toc462709767"/>
      <w:bookmarkStart w:id="174" w:name="_Toc462887956"/>
      <w:bookmarkStart w:id="175" w:name="_Toc462888050"/>
      <w:bookmarkStart w:id="176" w:name="_Toc462891331"/>
      <w:bookmarkStart w:id="177" w:name="_Toc478510884"/>
      <w:bookmarkStart w:id="178" w:name="_Toc479154483"/>
      <w:bookmarkStart w:id="179" w:name="_Toc479154830"/>
      <w:r w:rsidRPr="003516A7">
        <w:rPr>
          <w:bCs/>
          <w:color w:val="auto"/>
          <w:szCs w:val="24"/>
          <w:lang w:eastAsia="pt-BR"/>
        </w:rPr>
        <w:t xml:space="preserve">A ingestão de suplementos deve ser feita de forma moderada para cada pessoa e preferencialmente com apelo do médico </w:t>
      </w:r>
      <w:r w:rsidRPr="003516A7">
        <w:rPr>
          <w:b/>
          <w:color w:val="auto"/>
          <w:szCs w:val="24"/>
          <w:lang w:eastAsia="pt-BR"/>
        </w:rPr>
        <w:fldChar w:fldCharType="begin" w:fldLock="1"/>
      </w:r>
      <w:r w:rsidRPr="003516A7">
        <w:rPr>
          <w:bCs/>
          <w:color w:val="auto"/>
          <w:szCs w:val="24"/>
          <w:lang w:eastAsia="pt-BR"/>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"id" : "ITEM-2", "itemData" : { "ISSN" : "1808-0804", "abstract" : "Several factores affect the quality of modern life, therefore the population should be aware about the importance of foods containing substances that promote health, causing an improvement in the nutricional state. The incident of death due to cardiovascular problems, cancer, arteriosclerosos, hepatic diseases, among others, might be controlled trought good habits of feeding. Functional foods and nutraceutics have been considered to be synonymous. However, functional foods must be in the form of regular foods, be consumed as part of the diet and produce specific benefits to health, such as the reducing of the risk of several diseases and the maintenance of mental and physical well-being. The biologically active substances found in functional foods can be classified in groups, which will be presented in the development of this paper, for their important benefits to health. On the other hand, nutraceuticals are foods or part of foods that bring benefits to health, including prevention and/or treatment of diseases. It may include the isolated nutrients, dietary supplements, designed products, herbal products and processed foods. The aim of this work was to compare functional foods and nutraceuticals, based on definition and legislation, presenting the different classes of these compounds their beneficial effects to health.", "author" : [ { "dropping-particle" : "", "family" : "Moraes", "given" : "Fernanda P.", "non-dropping-particle" : "", "parse-names" : false, "suffix" : "" }, { "dropping-particle" : "", "family" : "Colla", "given" : "Luciane M.", "non-dropping-particle" : "", "parse-names" : false, "suffix" : "" } ], "container-title" : "Revista Eletr\u00f4nica de Farm\u00e1cia", "id" : "ITEM-2", "issue" : "2", "issued" : { "date-parts" : [ [ "2006" ] ] }, "page" : "109-122", "title" : "Alimentos Funcionais E Nutrac\u00eauticos: Defini\u00e7\u00f5es, Legisla\u00e7\u00e3o E Benef\u00edcios \u00c0 Sa\u00fade.", "type" : "article-journal", "volume" : "3" }, "uris" : [ "http://www.mendeley.com/documents/?uuid=06157941-3dba-4e06-b57a-cbc13219996d" ] } ], "mendeley" : { "formattedCitation" : "(Moraes &amp; Colla, 2006; Young &amp; Woodside, 2001)", "plainTextFormattedCitation" : "(Moraes &amp; Colla, 2006; Young &amp; Woodside, 2001)", "previouslyFormattedCitation" : "(Moraes &amp; Colla, 2006; Young &amp; Woodside, 2001)" }, "properties" : { "noteIndex" : 0 }, "schema" : "https://github.com/citation-style-language/schema/raw/master/csl-citation.json" }</w:instrText>
      </w:r>
      <w:r w:rsidRPr="003516A7">
        <w:rPr>
          <w:b/>
          <w:color w:val="auto"/>
          <w:szCs w:val="24"/>
          <w:lang w:eastAsia="pt-BR"/>
        </w:rPr>
        <w:fldChar w:fldCharType="separate"/>
      </w:r>
      <w:r w:rsidRPr="003516A7">
        <w:rPr>
          <w:bCs/>
          <w:noProof/>
          <w:color w:val="auto"/>
          <w:szCs w:val="24"/>
          <w:lang w:eastAsia="pt-BR"/>
        </w:rPr>
        <w:t>(Moraes &amp; Colla, 2006; Young &amp; Woodside, 2001)</w:t>
      </w:r>
      <w:r w:rsidRPr="003516A7">
        <w:rPr>
          <w:b/>
          <w:color w:val="auto"/>
          <w:szCs w:val="24"/>
          <w:lang w:eastAsia="pt-BR"/>
        </w:rPr>
        <w:fldChar w:fldCharType="end"/>
      </w:r>
      <w:r w:rsidRPr="003516A7">
        <w:rPr>
          <w:bCs/>
          <w:color w:val="auto"/>
          <w:szCs w:val="24"/>
          <w:lang w:eastAsia="pt-BR"/>
        </w:rPr>
        <w:t xml:space="preserve">. Estes têm que ser ingeridos quando os nutrientes estão </w:t>
      </w:r>
      <w:r w:rsidR="00665260" w:rsidRPr="003516A7">
        <w:rPr>
          <w:bCs/>
          <w:color w:val="auto"/>
          <w:szCs w:val="24"/>
          <w:lang w:eastAsia="pt-BR"/>
        </w:rPr>
        <w:t>ausentes</w:t>
      </w:r>
      <w:r w:rsidR="00665260">
        <w:rPr>
          <w:bCs/>
          <w:color w:val="auto"/>
          <w:szCs w:val="24"/>
          <w:lang w:eastAsia="pt-BR"/>
        </w:rPr>
        <w:t xml:space="preserve">, </w:t>
      </w:r>
      <w:r w:rsidRPr="003516A7">
        <w:rPr>
          <w:bCs/>
          <w:color w:val="auto"/>
          <w:szCs w:val="24"/>
          <w:lang w:eastAsia="pt-BR"/>
        </w:rPr>
        <w:t>ou não são</w:t>
      </w:r>
      <w:r w:rsidR="0033358E">
        <w:rPr>
          <w:bCs/>
          <w:color w:val="auto"/>
          <w:szCs w:val="24"/>
          <w:lang w:eastAsia="pt-BR"/>
        </w:rPr>
        <w:t xml:space="preserve"> </w:t>
      </w:r>
      <w:r w:rsidRPr="003516A7">
        <w:rPr>
          <w:bCs/>
          <w:color w:val="auto"/>
          <w:szCs w:val="24"/>
          <w:lang w:eastAsia="pt-BR"/>
        </w:rPr>
        <w:t xml:space="preserve">consumidos em quantidades suficientes na alimentação de cada pessoa. </w:t>
      </w:r>
      <w:r w:rsidRPr="003516A7">
        <w:rPr>
          <w:b/>
          <w:color w:val="auto"/>
          <w:szCs w:val="24"/>
          <w:lang w:eastAsia="pt-BR"/>
        </w:rPr>
        <w:fldChar w:fldCharType="begin" w:fldLock="1"/>
      </w:r>
      <w:r w:rsidRPr="003516A7">
        <w:rPr>
          <w:bCs/>
          <w:color w:val="auto"/>
          <w:szCs w:val="24"/>
          <w:lang w:eastAsia="pt-BR"/>
        </w:rPr>
        <w:instrText>ADDIN CSL_CITATION { "citationItems" : [ { "id" : "ITEM-1", "itemData" : { "DOI" : "10.1136/jcp.54.3.176", "author" : [ { "dropping-particle" : "", "family" : "Young", "given" : "I S", "non-dropping-particle" : "", "parse-names" : false, "suffix" : "" }, { "dropping-particle" : "V", "family" : "Woodside", "given" : "J", "non-dropping-particle" : "", "parse-names" : false, "suffix" : "" } ], "container-title" : "journal of clinical pathology", "id" : "ITEM-1", "issue" : "3", "issued" : { "date-parts" : [ [ "2001" ] ] }, "page" : "176-186", "title" : "Antioxidants in health and disease", "type" : "article-journal", "volume" : "54" }, "uris" : [ "http://www.mendeley.com/documents/?uuid=9dae6719-250c-475c-b7ff-4ad47cc39442" ] } ], "mendeley" : { "formattedCitation" : "(Young &amp; Woodside, 2001)", "plainTextFormattedCitation" : "(Young &amp; Woodside, 2001)", "previouslyFormattedCitation" : "(Young &amp; Woodside, 2001)" }, "properties" : { "noteIndex" : 0 }, "schema" : "https://github.com/citation-style-language/schema/raw/master/csl-citation.json" }</w:instrText>
      </w:r>
      <w:r w:rsidRPr="003516A7">
        <w:rPr>
          <w:b/>
          <w:color w:val="auto"/>
          <w:szCs w:val="24"/>
          <w:lang w:eastAsia="pt-BR"/>
        </w:rPr>
        <w:fldChar w:fldCharType="separate"/>
      </w:r>
      <w:r w:rsidRPr="003516A7">
        <w:rPr>
          <w:bCs/>
          <w:noProof/>
          <w:color w:val="auto"/>
          <w:szCs w:val="24"/>
          <w:lang w:eastAsia="pt-BR"/>
        </w:rPr>
        <w:t>(Young &amp; Woodside, 2001)</w:t>
      </w:r>
      <w:r w:rsidRPr="003516A7">
        <w:rPr>
          <w:b/>
          <w:color w:val="auto"/>
          <w:szCs w:val="24"/>
          <w:lang w:eastAsia="pt-BR"/>
        </w:rPr>
        <w:fldChar w:fldCharType="end"/>
      </w:r>
      <w:r w:rsidRPr="003516A7">
        <w:rPr>
          <w:bCs/>
          <w:color w:val="auto"/>
          <w:szCs w:val="24"/>
          <w:lang w:eastAsia="pt-BR"/>
        </w:rPr>
        <w:t xml:space="preserve">. Estes devem demonstrar um perfil adequado de segurança para o consumo humano. Não devendo apresentar risco de toxicidade ou efeitos adversos de drogas medicinais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"ISSN" : "1808-0804", "abstract" : "Several factores affect the quality of modern life, therefore the population should be aware about the importance of foods containing substances that promote health, causing an improvement in the nutricional state. The incident of death due to cardiovascular problems, cancer, arteriosclerosos, hepatic diseases, among others, might be controlled trought good habits of feeding. Functional foods and nutraceutics have been considered to be synonymous. However, functional foods must be in the form of regular foods, be consumed as part of the diet and produce specific benefits to health, such as the reducing of the risk of several diseases and the maintenance of mental and physical well-being. The biologically active substances found in functional foods can be classified in groups, which will be presented in the development of this paper, for their important benefits to health. On the other hand, nutraceuticals are foods or part of foods that bring benefits to health, including prevention and/or treatment of diseases. It may include the isolated nutrients, dietary supplements, designed products, herbal products and processed foods. The aim of this work was to compare functional foods and nutraceuticals, based on definition and legislation, presenting the different classes of these compounds their beneficial effects to health.", "author" : [ { "dropping-particle" : "", "family" : "Moraes", "given" : "Fernanda P.", "non-dropping-particle" : "", "parse-names" : false, "suffix" : "" }, { "dropping-particle" : "", "family" : "Colla", "given" : "Luciane M.", "non-dropping-particle" : "", "parse-names" : false, "suffix" : "" } ], "container-title" : "Revista Eletr\u00f4nica de Farm\u00e1cia", "id" : "ITEM-1", "issue" : "2", "issued" : { "date-parts" : [ [ "2006" ] ] }, "page" : "109-122", "title" : "Alimentos Funcionais E Nutrac\u00eauticos: Defini\u00e7\u00f5es, Legisla\u00e7\u00e3o E Benef\u00edcios \u00c0 Sa\u00fade.", "type" : "article-journal", "volume" : "3" }, "uris" : [ "http://www.mendeley.com/documents/?uuid=06157941-3dba-4e06-b57a-cbc13219996d" ] } ], "mendeley" : { "formattedCitation" : "(Moraes &amp; Colla, 2006)", "plainTextFormattedCitation" : "(Moraes &amp; Colla, 2006)", "previouslyFormattedCitation" : "(Moraes &amp; Colla, 2006)"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(Moraes &amp; Colla, 2006)</w:t>
      </w:r>
      <w:r w:rsidRPr="003516A7">
        <w:rPr>
          <w:bCs/>
          <w:color w:val="auto"/>
          <w:szCs w:val="24"/>
          <w:lang w:eastAsia="pt-BR"/>
        </w:rPr>
        <w:fldChar w:fldCharType="end"/>
      </w:r>
      <w:r w:rsidRPr="003516A7">
        <w:rPr>
          <w:bCs/>
          <w:color w:val="auto"/>
          <w:szCs w:val="24"/>
          <w:lang w:eastAsia="pt-BR"/>
        </w:rPr>
        <w:t>.</w:t>
      </w:r>
      <w:bookmarkEnd w:id="167"/>
      <w:bookmarkEnd w:id="168"/>
      <w:bookmarkEnd w:id="169"/>
      <w:bookmarkEnd w:id="170"/>
      <w:bookmarkEnd w:id="171"/>
      <w:bookmarkEnd w:id="172"/>
      <w:bookmarkEnd w:id="173"/>
      <w:bookmarkEnd w:id="174"/>
      <w:bookmarkEnd w:id="175"/>
      <w:bookmarkEnd w:id="176"/>
      <w:bookmarkEnd w:id="177"/>
      <w:bookmarkEnd w:id="178"/>
      <w:bookmarkEnd w:id="179"/>
    </w:p>
    <w:p w14:paraId="2DBA2140" w14:textId="77777777" w:rsidR="00F23D90" w:rsidRDefault="00F23D90" w:rsidP="008474BA">
      <w:pPr>
        <w:pStyle w:val="Cabealho3"/>
        <w:rPr>
          <w:rFonts w:ascii="Times New Roman" w:hAnsi="Times New Roman" w:cs="Times New Roman"/>
          <w:color w:val="auto"/>
        </w:rPr>
      </w:pPr>
      <w:bookmarkStart w:id="180" w:name="_Toc462576810"/>
      <w:bookmarkStart w:id="181" w:name="_Toc462888051"/>
    </w:p>
    <w:p w14:paraId="589A6C70" w14:textId="77777777" w:rsidR="003516A7" w:rsidRPr="008474BA" w:rsidRDefault="003516A7" w:rsidP="008474BA">
      <w:pPr>
        <w:pStyle w:val="Cabealho3"/>
        <w:rPr>
          <w:rFonts w:ascii="Times New Roman" w:hAnsi="Times New Roman" w:cs="Times New Roman"/>
          <w:color w:val="auto"/>
        </w:rPr>
      </w:pPr>
      <w:bookmarkStart w:id="182" w:name="_Toc479154831"/>
      <w:r w:rsidRPr="008474BA">
        <w:rPr>
          <w:rFonts w:ascii="Times New Roman" w:hAnsi="Times New Roman" w:cs="Times New Roman"/>
          <w:color w:val="auto"/>
        </w:rPr>
        <w:t>1.4.1 Propriedades funcionais do figo-da-índia</w:t>
      </w:r>
      <w:bookmarkEnd w:id="180"/>
      <w:bookmarkEnd w:id="181"/>
      <w:bookmarkEnd w:id="182"/>
    </w:p>
    <w:p w14:paraId="0677DE57" w14:textId="21C77CF6" w:rsidR="003516A7" w:rsidRDefault="003516A7" w:rsidP="003F49B4">
      <w:pPr>
        <w:spacing w:before="100" w:beforeAutospacing="1" w:after="100" w:afterAutospacing="1" w:line="360" w:lineRule="auto"/>
        <w:ind w:left="0" w:right="0" w:firstLine="0"/>
        <w:outlineLvl w:val="1"/>
        <w:rPr>
          <w:bCs/>
          <w:color w:val="auto"/>
          <w:szCs w:val="24"/>
          <w:lang w:eastAsia="pt-BR"/>
        </w:rPr>
      </w:pPr>
      <w:bookmarkStart w:id="183" w:name="_Toc462576811"/>
      <w:bookmarkStart w:id="184" w:name="_Toc462576848"/>
      <w:bookmarkStart w:id="185" w:name="_Toc462577960"/>
      <w:bookmarkStart w:id="186" w:name="_Toc462578594"/>
      <w:bookmarkStart w:id="187" w:name="_Toc462579057"/>
      <w:bookmarkStart w:id="188" w:name="_Toc462673445"/>
      <w:bookmarkStart w:id="189" w:name="_Toc462709769"/>
      <w:bookmarkStart w:id="190" w:name="_Toc462887958"/>
      <w:bookmarkStart w:id="191" w:name="_Toc462888052"/>
      <w:bookmarkStart w:id="192" w:name="_Toc462891333"/>
      <w:bookmarkStart w:id="193" w:name="_Toc478510886"/>
      <w:bookmarkStart w:id="194" w:name="_Toc479154485"/>
      <w:bookmarkStart w:id="195" w:name="_Toc479154832"/>
      <w:r w:rsidRPr="003516A7">
        <w:rPr>
          <w:bCs/>
          <w:color w:val="auto"/>
          <w:szCs w:val="24"/>
          <w:lang w:eastAsia="pt-BR"/>
        </w:rPr>
        <w:t xml:space="preserve">O figo da Índia é um fruto que pode ser comido naturalmente ou pode ser transformado em diversos produtos </w:t>
      </w:r>
      <w:r w:rsidRPr="003516A7">
        <w:rPr>
          <w:bCs/>
          <w:color w:val="auto"/>
          <w:szCs w:val="24"/>
          <w:lang w:eastAsia="pt-BR"/>
        </w:rPr>
        <w:fldChar w:fldCharType="begin" w:fldLock="1"/>
      </w:r>
      <w:r w:rsidR="00D73AD0">
        <w:rPr>
          <w:bCs/>
          <w:color w:val="auto"/>
          <w:szCs w:val="24"/>
          <w:lang w:eastAsia="pt-BR"/>
        </w:rPr>
        <w:instrText>ADDIN CSL_CITATION { "citationItems" : [ { "id" : "ITEM-1", "itemData" : { "ISSN" : "19386648", "author" : [ { "dropping-particle" : "El", "family" : "Samahy", "given" : "S K", "non-dropping-particle" : "", "parse-names" : false, "suffix" : "" }, { "dropping-particle" : "", "family" : "Youssef", "given" : "K M", "non-dropping-particle" : "", "parse-names" : false, "suffix" : "" }, { "dropping-particle" : "", "family" : "Moussa-Ayoub", "given" : "T E", "non-dropping-particle" : "", "parse-names" : false, "suffix" : "" } ], "container-title" : "Journal of the Professional Association for Cactus Development", "id" : "ITEM-1", "issued" : { "date-parts" : [ [ "2009" ] ] }, "page" : "1-12", "title" : "Producing ice cream with concentrated cactus pear pulp: a preliminary study", "type" : "article-journal", "volume" : "11" }, "uris" : [ "http://www.mendeley.com/documents/?uuid=4104bc50-3913-4325-8feb-e6f9e166bd86" ] } ], "mendeley" : { "formattedCitation" : "(Samahy et al., 2009)", "manualFormatting" : "(Samahy et al., 2009)", "plainTextFormattedCitation" : "(Samahy et al., 2009)", "previouslyFormattedCitation" : "(Samahy et al., 2009)" }, "properties" : { "noteIndex" : 0 }, "schema" : "https://github.com/citation-style-language/schema/raw/master/csl-citation.json" }</w:instrText>
      </w:r>
      <w:r w:rsidRPr="003516A7">
        <w:rPr>
          <w:bCs/>
          <w:color w:val="auto"/>
          <w:szCs w:val="24"/>
          <w:lang w:eastAsia="pt-BR"/>
        </w:rPr>
        <w:fldChar w:fldCharType="separate"/>
      </w:r>
      <w:r w:rsidR="00170389">
        <w:rPr>
          <w:bCs/>
          <w:noProof/>
          <w:color w:val="auto"/>
          <w:szCs w:val="24"/>
          <w:lang w:eastAsia="pt-BR"/>
        </w:rPr>
        <w:t>(Samahy et al.</w:t>
      </w:r>
      <w:r w:rsidRPr="003516A7">
        <w:rPr>
          <w:bCs/>
          <w:noProof/>
          <w:color w:val="auto"/>
          <w:szCs w:val="24"/>
          <w:lang w:eastAsia="pt-BR"/>
        </w:rPr>
        <w:t>, 2009)</w:t>
      </w:r>
      <w:r w:rsidRPr="003516A7">
        <w:rPr>
          <w:bCs/>
          <w:color w:val="auto"/>
          <w:szCs w:val="24"/>
          <w:lang w:eastAsia="pt-BR"/>
        </w:rPr>
        <w:fldChar w:fldCharType="end"/>
      </w:r>
      <w:r w:rsidRPr="003516A7">
        <w:rPr>
          <w:bCs/>
          <w:color w:val="auto"/>
          <w:szCs w:val="24"/>
          <w:lang w:eastAsia="pt-BR"/>
        </w:rPr>
        <w:t>.</w:t>
      </w:r>
      <w:bookmarkStart w:id="196" w:name="_Toc462576812"/>
      <w:bookmarkStart w:id="197" w:name="_Toc462577961"/>
      <w:bookmarkStart w:id="198" w:name="_Toc462578595"/>
      <w:bookmarkStart w:id="199" w:name="_Toc462579058"/>
      <w:bookmarkStart w:id="200" w:name="_Toc462673446"/>
      <w:bookmarkStart w:id="201" w:name="_Toc462709770"/>
      <w:bookmarkStart w:id="202" w:name="_Toc462887959"/>
      <w:bookmarkStart w:id="203" w:name="_Toc462888053"/>
      <w:bookmarkStart w:id="204" w:name="_Toc462891334"/>
      <w:bookmarkStart w:id="205" w:name="_Toc478510887"/>
      <w:bookmarkEnd w:id="183"/>
      <w:bookmarkEnd w:id="184"/>
      <w:bookmarkEnd w:id="185"/>
      <w:bookmarkEnd w:id="186"/>
      <w:bookmarkEnd w:id="187"/>
      <w:bookmarkEnd w:id="188"/>
      <w:bookmarkEnd w:id="189"/>
      <w:bookmarkEnd w:id="190"/>
      <w:bookmarkEnd w:id="191"/>
      <w:bookmarkEnd w:id="192"/>
      <w:bookmarkEnd w:id="193"/>
      <w:r w:rsidR="00665260">
        <w:rPr>
          <w:bCs/>
          <w:color w:val="auto"/>
          <w:szCs w:val="24"/>
          <w:lang w:eastAsia="pt-BR"/>
        </w:rPr>
        <w:t xml:space="preserve"> </w:t>
      </w:r>
      <w:r w:rsidRPr="003516A7">
        <w:rPr>
          <w:bCs/>
          <w:color w:val="auto"/>
          <w:szCs w:val="24"/>
          <w:lang w:eastAsia="pt-BR"/>
        </w:rPr>
        <w:t>Aparentam ser uma fonte de componentes funcionais para nutracêuticos. A sua composição química (tabela 1) apresenta carotenoides, vitamina C</w:t>
      </w:r>
      <w:r w:rsidR="00E216B7">
        <w:rPr>
          <w:bCs/>
          <w:color w:val="auto"/>
          <w:szCs w:val="24"/>
          <w:lang w:eastAsia="pt-BR"/>
        </w:rPr>
        <w:t xml:space="preserve"> e</w:t>
      </w:r>
      <w:r w:rsidRPr="003516A7">
        <w:rPr>
          <w:bCs/>
          <w:color w:val="auto"/>
          <w:szCs w:val="24"/>
          <w:lang w:eastAsia="pt-BR"/>
        </w:rPr>
        <w:t xml:space="preserve"> compostos fenólicos. Esta fonte de antioxidante</w:t>
      </w:r>
      <w:r w:rsidR="00170389">
        <w:rPr>
          <w:bCs/>
          <w:color w:val="auto"/>
          <w:szCs w:val="24"/>
          <w:lang w:eastAsia="pt-BR"/>
        </w:rPr>
        <w:t>s</w:t>
      </w:r>
      <w:r w:rsidRPr="003516A7">
        <w:rPr>
          <w:bCs/>
          <w:color w:val="auto"/>
          <w:szCs w:val="24"/>
          <w:lang w:eastAsia="pt-BR"/>
        </w:rPr>
        <w:t xml:space="preserve"> justifica as pesquisas e atividades terapêuticas realizadas como efeitos neuroprotetores, citóxicos contra células cancerígenas, atividade antiulcerogénica </w:t>
      </w:r>
      <w:r w:rsidRPr="003516A7">
        <w:rPr>
          <w:bCs/>
          <w:color w:val="auto"/>
          <w:szCs w:val="24"/>
          <w:lang w:eastAsia="pt-BR"/>
        </w:rPr>
        <w:fldChar w:fldCharType="begin" w:fldLock="1"/>
      </w:r>
      <w:r w:rsidR="00D413A1">
        <w:rPr>
          <w:bCs/>
          <w:color w:val="auto"/>
          <w:szCs w:val="24"/>
          <w:lang w:eastAsia="pt-BR"/>
        </w:rPr>
        <w:instrText>ADDIN CSL_CITATION { "citationItems" : [ { "id" : "ITEM-1", "itemData" : { "author" : [ { "dropping-particle" : "", "family" : "Rosale Li\u00e9ge Alves de Souza", "given" : "", "non-dropping-particle" : "", "parse-names" : false, "suffix" : "" } ], "id" : "ITEM-1", "issued" : { "date-parts" : [ [ "2014" ] ] }, "number-of-pages" : "1-145", "publisher" : "Universidade Federal do Rio Grande do Norte", "title" : "Estudo da funcionalidade de esp\u00e9cies comest\u00edveis do semi\u00e1rido nordestino e estrat\u00e9gias para sua utiliza\u00e7\u00e3o como ingredientes para fins aliment\u00edcios", "type" : "thesis" }, "uris" : [ "http://www.mendeley.com/documents/?uuid=d829266f-50f2-48bc-ba6a-65600e155bb1" ] } ], "mendeley" : { "formattedCitation" : "(Rosale Li\u00e9ge Alves de Souza, 2014)", "manualFormatting" : "(Souza, 2014)", "plainTextFormattedCitation" : "(Rosale Li\u00e9ge Alves de Souza, 2014)", "previouslyFormattedCitation" : "(Rosale Li\u00e9ge Alves de Souza, 2014)" }, "properties" : { "noteIndex" : 0 }, "schema" : "https://github.com/citation-style-language/schema/raw/master/csl-citation.json" }</w:instrText>
      </w:r>
      <w:r w:rsidRPr="003516A7">
        <w:rPr>
          <w:bCs/>
          <w:color w:val="auto"/>
          <w:szCs w:val="24"/>
          <w:lang w:eastAsia="pt-BR"/>
        </w:rPr>
        <w:fldChar w:fldCharType="separate"/>
      </w:r>
      <w:r w:rsidR="00703FCF">
        <w:rPr>
          <w:bCs/>
          <w:noProof/>
          <w:color w:val="auto"/>
          <w:szCs w:val="24"/>
          <w:lang w:eastAsia="pt-BR"/>
        </w:rPr>
        <w:t>(</w:t>
      </w:r>
      <w:r w:rsidRPr="003516A7">
        <w:rPr>
          <w:bCs/>
          <w:noProof/>
          <w:color w:val="auto"/>
          <w:szCs w:val="24"/>
          <w:lang w:eastAsia="pt-BR"/>
        </w:rPr>
        <w:t>Souza, 2014)</w:t>
      </w:r>
      <w:r w:rsidRPr="003516A7">
        <w:rPr>
          <w:bCs/>
          <w:color w:val="auto"/>
          <w:szCs w:val="24"/>
          <w:lang w:eastAsia="pt-BR"/>
        </w:rPr>
        <w:fldChar w:fldCharType="end"/>
      </w:r>
      <w:r w:rsidRPr="003516A7">
        <w:rPr>
          <w:bCs/>
          <w:color w:val="auto"/>
          <w:szCs w:val="24"/>
          <w:lang w:eastAsia="pt-BR"/>
        </w:rPr>
        <w:t xml:space="preserve">. </w:t>
      </w:r>
      <w:r w:rsidR="00E216B7">
        <w:rPr>
          <w:bCs/>
          <w:color w:val="auto"/>
          <w:szCs w:val="24"/>
          <w:lang w:eastAsia="pt-BR"/>
        </w:rPr>
        <w:t xml:space="preserve">As betalaínas não constam na tabela 1, mas </w:t>
      </w:r>
      <w:r w:rsidR="00405D31">
        <w:rPr>
          <w:bCs/>
          <w:color w:val="auto"/>
          <w:szCs w:val="24"/>
          <w:lang w:eastAsia="pt-BR"/>
        </w:rPr>
        <w:t>importantes na composição do figo-da-índia</w:t>
      </w:r>
      <w:r w:rsidR="00310D60">
        <w:rPr>
          <w:bCs/>
          <w:color w:val="auto"/>
          <w:szCs w:val="24"/>
          <w:lang w:eastAsia="pt-BR"/>
        </w:rPr>
        <w:t xml:space="preserve"> </w:t>
      </w:r>
      <w:r w:rsidR="00310D60">
        <w:rPr>
          <w:bCs/>
          <w:color w:val="auto"/>
          <w:szCs w:val="24"/>
          <w:lang w:eastAsia="pt-BR"/>
        </w:rPr>
        <w:fldChar w:fldCharType="begin" w:fldLock="1"/>
      </w:r>
      <w:r w:rsidR="00310D60">
        <w:rPr>
          <w:bCs/>
          <w:color w:val="auto"/>
          <w:szCs w:val="24"/>
          <w:lang w:eastAsia="pt-BR"/>
        </w:rPr>
        <w:instrText>ADDIN CSL_CITATION { "citationItems" : [ { "id" : "ITEM-1", "itemData" : { "DOI" : "10.1021/jf048751y", "ISBN" : "0021-8561", "ISSN" : "00218561", "PMID" : "15656686", "abstract" : "Total phenolics, ascorbic acid, and betalain contents of differently colored cactus pear clones (nine Opuntia ficus-indica [L.] Mill. clones and one O. robusta Wendl. clone) were investigated and related to their respective antioxidant potential assessed by Trolox-equivalent antioxidant capacity (TEAC) and oxygen radical absorbance capacity (ORAC) assays. TEAC and ORAC values were very highly correlated with each other and also with values for total phenolics, betalain contents, and ascorbic acid concentrations. Total phenolics had the greatest contribution to ORAC and TEAC values. High-performance liquid chromatography (HPLC)-diode array detector (DAD)-tandem mass spectrometry (MS/MS) measurements of cactus pear juices permitted the differentiation of the clones based on variations in pigment patterns and betalain concentrations. The red and yellow betalains were absent in lime green colored cactus fruits. The ratio and concentration of these pigments were responsible for the yellow, orange, red, and purple colors in the other clones. Progeny of purple and lime green colored parents were characterized by 12% and 88% of plants bearing lime green and purple fruit, respectively. This implies that the genes for betalain production were lacking in the lime green fruits but could be provided by a parent with a complete set of genes, that is, purple fruits. Besides known pigments typical of Cactaceae, two unexpected betalains were identified. Whereas gomphrenin I was found for the first time in tissues of cactus plants, methionine-betaxanthin has never been described before as a genuine betalain. In addition to their alleged health-promoting properties, various combinations of yellow betaxanthins and red-purple betacyanins may allow the development of new food products without using artificial colorants.", "author" : [ { "dropping-particle" : "", "family" : "Stintzing", "given" : "Florian C.", "non-dropping-particle" : "", "parse-names" : false, "suffix" : "" }, { "dropping-particle" : "", "family" : "Herbach", "given" : "Kirsten M.", "non-dropping-particle" : "", "parse-names" : false, "suffix" : "" }, { "dropping-particle" : "", "family" : "Mosshammer", "given" : "Markus R.", "non-dropping-particle" : "", "parse-names" : false, "suffix" : "" }, { "dropping-particle" : "", "family" : "Carle", "given" : "Reinhold", "non-dropping-particle" : "", "parse-names" : false, "suffix" : "" }, { "dropping-particle" : "", "family" : "Yi", "given" : "Weiguang", "non-dropping-particle" : "", "parse-names" : false, "suffix" : "" }, { "dropping-particle" : "", "family" : "Sellappan", "given" : "Subramani", "non-dropping-particle" : "", "parse-names" : false, "suffix" : "" }, { "dropping-particle" : "", "family" : "Akoh", "given" : "Casimir C.", "non-dropping-particle" : "", "parse-names" : false, "suffix" : "" }, { "dropping-particle" : "", "family" : "Bunch", "given" : "Ron", "non-dropping-particle" : "", "parse-names" : false, "suffix" : "" }, { "dropping-particle" : "", "family" : "Felker", "given" : "Peter", "non-dropping-particle" : "", "parse-names" : false, "suffix" : "" } ], "container-title" : "Journal of Agricultural and Food Chemistry", "id" : "ITEM-1", "issue" : "2", "issued" : { "date-parts" : [ [ "2005" ] ] }, "page" : "442-451", "title" : "Color, betalain pattern, and antioxidant properties of cactus pear (Opuntia spp.) clones", "type" : "article-journal", "volume" : "53" }, "uris" : [ "http://www.mendeley.com/documents/?uuid=5d0e82cc-4cbb-4478-a48e-52579b1a0328" ] } ], "mendeley" : { "formattedCitation" : "(Stintzing et al., 2005)", "plainTextFormattedCitation" : "(Stintzing et al., 2005)", "previouslyFormattedCitation" : "(Stintzing et al., 2005)" }, "properties" : { "noteIndex" : 0 }, "schema" : "https://github.com/citation-style-language/schema/raw/master/csl-citation.json" }</w:instrText>
      </w:r>
      <w:r w:rsidR="00310D60">
        <w:rPr>
          <w:bCs/>
          <w:color w:val="auto"/>
          <w:szCs w:val="24"/>
          <w:lang w:eastAsia="pt-BR"/>
        </w:rPr>
        <w:fldChar w:fldCharType="separate"/>
      </w:r>
      <w:r w:rsidR="00310D60" w:rsidRPr="00310D60">
        <w:rPr>
          <w:bCs/>
          <w:noProof/>
          <w:color w:val="auto"/>
          <w:szCs w:val="24"/>
          <w:lang w:eastAsia="pt-BR"/>
        </w:rPr>
        <w:t>(Stintzing et al., 2005)</w:t>
      </w:r>
      <w:r w:rsidR="00310D60">
        <w:rPr>
          <w:bCs/>
          <w:color w:val="auto"/>
          <w:szCs w:val="24"/>
          <w:lang w:eastAsia="pt-BR"/>
        </w:rPr>
        <w:fldChar w:fldCharType="end"/>
      </w:r>
      <w:r w:rsidR="00310D60">
        <w:rPr>
          <w:bCs/>
          <w:color w:val="auto"/>
          <w:szCs w:val="24"/>
          <w:lang w:eastAsia="pt-BR"/>
        </w:rPr>
        <w:t xml:space="preserve">. </w:t>
      </w:r>
      <w:r w:rsidRPr="003516A7">
        <w:rPr>
          <w:bCs/>
          <w:color w:val="auto"/>
          <w:szCs w:val="24"/>
          <w:lang w:eastAsia="pt-BR"/>
        </w:rPr>
        <w:t>No caso das betalaínas</w:t>
      </w:r>
      <w:r w:rsidR="00E44011">
        <w:rPr>
          <w:bCs/>
          <w:color w:val="auto"/>
          <w:szCs w:val="24"/>
          <w:lang w:eastAsia="pt-BR"/>
        </w:rPr>
        <w:t xml:space="preserve"> </w:t>
      </w:r>
      <w:r w:rsidRPr="003516A7">
        <w:rPr>
          <w:bCs/>
          <w:color w:val="auto"/>
          <w:szCs w:val="24"/>
          <w:lang w:eastAsia="pt-BR"/>
        </w:rPr>
        <w:t xml:space="preserve">são usadas para colorir diversos produtos alimentares </w:t>
      </w:r>
      <w:r w:rsidRPr="003516A7">
        <w:rPr>
          <w:bCs/>
          <w:color w:val="auto"/>
          <w:szCs w:val="24"/>
          <w:lang w:eastAsia="pt-BR"/>
        </w:rPr>
        <w:fldChar w:fldCharType="begin" w:fldLock="1"/>
      </w:r>
      <w:r w:rsidR="00D73AD0">
        <w:rPr>
          <w:bCs/>
          <w:color w:val="auto"/>
          <w:szCs w:val="24"/>
          <w:lang w:eastAsia="pt-BR"/>
        </w:rPr>
        <w:instrText>ADDIN CSL_CITATION { "citationItems" : [ { "id" : "ITEM-1", "itemData" : { "ISSN" : "19386648", "author" : [ { "dropping-particle" : "El", "family" : "Samahy", "given" : "S K", "non-dropping-particle" : "", "parse-names" : false, "suffix" : "" }, { "dropping-particle" : "", "family" : "Youssef", "given" : "K M", "non-dropping-particle" : "", "parse-names" : false, "suffix" : "" }, { "dropping-particle" : "", "family" : "Moussa-Ayoub", "given" : "T E", "non-dropping-particle" : "", "parse-names" : false, "suffix" : "" } ], "container-title" : "Journal of the Professional Association for Cactus Development", "id" : "ITEM-1", "issued" : { "date-parts" : [ [ "2009" ] ] }, "page" : "1-12", "title" : "Producing ice cream with concentrated cactus pear pulp: a preliminary study", "type" : "article-journal", "volume" : "11" }, "uris" : [ "http://www.mendeley.com/documents/?uuid=4104bc50-3913-4325-8feb-e6f9e166bd86" ] } ], "mendeley" : { "formattedCitation" : "(Samahy et al., 2009)", "plainTextFormattedCitation" : "(Samahy et al., 2009)", "previouslyFormattedCitation" : "(Samahy et al., 2009)"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(Samahy et al., 2009)</w:t>
      </w:r>
      <w:r w:rsidRPr="003516A7">
        <w:rPr>
          <w:bCs/>
          <w:color w:val="auto"/>
          <w:szCs w:val="24"/>
          <w:lang w:eastAsia="pt-BR"/>
        </w:rPr>
        <w:fldChar w:fldCharType="end"/>
      </w:r>
      <w:r w:rsidRPr="003516A7">
        <w:rPr>
          <w:bCs/>
          <w:color w:val="auto"/>
          <w:szCs w:val="24"/>
          <w:lang w:eastAsia="pt-BR"/>
        </w:rPr>
        <w:t>.</w:t>
      </w:r>
      <w:bookmarkEnd w:id="194"/>
      <w:bookmarkEnd w:id="195"/>
      <w:bookmarkEnd w:id="196"/>
      <w:bookmarkEnd w:id="197"/>
      <w:bookmarkEnd w:id="198"/>
      <w:bookmarkEnd w:id="199"/>
      <w:bookmarkEnd w:id="200"/>
      <w:bookmarkEnd w:id="201"/>
      <w:bookmarkEnd w:id="202"/>
      <w:bookmarkEnd w:id="203"/>
      <w:bookmarkEnd w:id="204"/>
      <w:bookmarkEnd w:id="205"/>
    </w:p>
    <w:p w14:paraId="629A7015" w14:textId="77777777" w:rsidR="002521DE" w:rsidRDefault="002521DE" w:rsidP="00882CE6">
      <w:pPr>
        <w:pStyle w:val="Legenda"/>
        <w:keepNext/>
        <w:ind w:left="0" w:firstLine="0"/>
      </w:pPr>
      <w:bookmarkStart w:id="206" w:name="_Toc462888463"/>
    </w:p>
    <w:p w14:paraId="23E327DC" w14:textId="7C44F214" w:rsidR="00793253" w:rsidRDefault="007D538B" w:rsidP="00882CE6">
      <w:pPr>
        <w:pStyle w:val="Legenda"/>
        <w:keepNext/>
        <w:ind w:left="0" w:firstLine="0"/>
      </w:pPr>
      <w:r>
        <w:t>T</w:t>
      </w:r>
      <w:r w:rsidR="00793253">
        <w:t xml:space="preserve">abela </w:t>
      </w:r>
      <w:r w:rsidR="00805B44">
        <w:fldChar w:fldCharType="begin"/>
      </w:r>
      <w:r w:rsidR="00805B44">
        <w:instrText xml:space="preserve"> SEQ Tabela \* ARABIC </w:instrText>
      </w:r>
      <w:r w:rsidR="00805B44">
        <w:fldChar w:fldCharType="separate"/>
      </w:r>
      <w:r w:rsidR="005F28B4">
        <w:rPr>
          <w:noProof/>
        </w:rPr>
        <w:t>1</w:t>
      </w:r>
      <w:r w:rsidR="00805B44">
        <w:rPr>
          <w:noProof/>
        </w:rPr>
        <w:fldChar w:fldCharType="end"/>
      </w:r>
      <w:r w:rsidR="00793253">
        <w:t xml:space="preserve"> - </w:t>
      </w:r>
      <w:r w:rsidR="00793253" w:rsidRPr="00B533C9">
        <w:rPr>
          <w:bCs/>
          <w:color w:val="auto"/>
          <w:sz w:val="20"/>
          <w:szCs w:val="22"/>
          <w:lang w:eastAsia="pt-BR"/>
        </w:rPr>
        <w:t xml:space="preserve">Características </w:t>
      </w:r>
      <w:r w:rsidR="00703FCF">
        <w:rPr>
          <w:bCs/>
          <w:color w:val="auto"/>
          <w:sz w:val="20"/>
          <w:szCs w:val="22"/>
          <w:lang w:eastAsia="pt-BR"/>
        </w:rPr>
        <w:t>físico-químicas</w:t>
      </w:r>
      <w:r w:rsidR="00793253" w:rsidRPr="00B533C9">
        <w:rPr>
          <w:bCs/>
          <w:color w:val="auto"/>
          <w:sz w:val="20"/>
          <w:szCs w:val="22"/>
          <w:lang w:eastAsia="pt-BR"/>
        </w:rPr>
        <w:t xml:space="preserve"> presentes na polpa do figo da índia (Adaptado </w:t>
      </w:r>
      <w:r w:rsidR="00793253" w:rsidRPr="00B533C9">
        <w:rPr>
          <w:bCs/>
          <w:color w:val="auto"/>
          <w:sz w:val="20"/>
          <w:szCs w:val="22"/>
          <w:lang w:eastAsia="pt-BR"/>
        </w:rPr>
        <w:fldChar w:fldCharType="begin" w:fldLock="1"/>
      </w:r>
      <w:r w:rsidR="004C0F6E">
        <w:rPr>
          <w:bCs/>
          <w:color w:val="auto"/>
          <w:sz w:val="20"/>
          <w:szCs w:val="22"/>
          <w:lang w:eastAsia="pt-BR"/>
        </w:rPr>
        <w:instrText>ADDIN CSL_CITATION { "citationItems" : [ { "id" : "ITEM-1", "itemData" : { "ISSN" : "19386648", "abstract" : "The constantly increasing demand for nutraceuticals is paralleled by a more pronounced request for natural ingredients and health-promoting foods. The multiple functional properties of cactus pear fit well this trend. Recent data revealed the high content of some chemical constituents, which can give added value to this fruit on a nutritional and technological functionality basis. High levels of betalains, taurine, calcium, magnesium, and antioxidants are noteworthy.", "author" : [ { "dropping-particle" : "", "family" : "Piga", "given" : "Antonio", "non-dropping-particle" : "", "parse-names" : false, "suffix" : "" } ], "container-title" : "Journal of the Professional Association for Cactus Development", "id" : "ITEM-1", "issue" : "February", "issued" : { "date-parts" : [ [ "2004" ] ] }, "page" : "9-22", "title" : "Cactus Pear : A Fruit of Nutraceutical and Functional Importance", "type" : "article-journal", "volume" : "6" }, "uris" : [ "http://www.mendeley.com/documents/?uuid=7643e2db-70f7-4a68-af95-432b5b630a29" ] } ], "mendeley" : { "formattedCitation" : "(Piga, 2004)", "plainTextFormattedCitation" : "(Piga, 2004)", "previouslyFormattedCitation" : "(Piga, 2004)" }, "properties" : { "noteIndex" : 0 }, "schema" : "https://github.com/citation-style-language/schema/raw/master/csl-citation.json" }</w:instrText>
      </w:r>
      <w:r w:rsidR="00793253" w:rsidRPr="00B533C9">
        <w:rPr>
          <w:bCs/>
          <w:color w:val="auto"/>
          <w:sz w:val="20"/>
          <w:szCs w:val="22"/>
          <w:lang w:eastAsia="pt-BR"/>
        </w:rPr>
        <w:fldChar w:fldCharType="separate"/>
      </w:r>
      <w:r w:rsidR="00793253" w:rsidRPr="00B533C9">
        <w:rPr>
          <w:bCs/>
          <w:noProof/>
          <w:color w:val="auto"/>
          <w:sz w:val="20"/>
          <w:szCs w:val="22"/>
          <w:lang w:eastAsia="pt-BR"/>
        </w:rPr>
        <w:t>(Piga, 2004)</w:t>
      </w:r>
      <w:bookmarkEnd w:id="206"/>
      <w:r w:rsidR="00793253" w:rsidRPr="00B533C9">
        <w:rPr>
          <w:bCs/>
          <w:color w:val="auto"/>
          <w:sz w:val="20"/>
          <w:szCs w:val="22"/>
          <w:lang w:eastAsia="pt-BR"/>
        </w:rPr>
        <w:fldChar w:fldCharType="end"/>
      </w:r>
    </w:p>
    <w:tbl>
      <w:tblPr>
        <w:tblW w:w="4780" w:type="dxa"/>
        <w:tblInd w:w="1867" w:type="dxa"/>
        <w:tblCellMar>
          <w:left w:w="70" w:type="dxa"/>
          <w:right w:w="70" w:type="dxa"/>
        </w:tblCellMar>
        <w:tblLook w:val="04A0" w:firstRow="1" w:lastRow="0" w:firstColumn="1" w:lastColumn="0" w:noHBand="0" w:noVBand="1"/>
      </w:tblPr>
      <w:tblGrid>
        <w:gridCol w:w="2280"/>
        <w:gridCol w:w="2500"/>
      </w:tblGrid>
      <w:tr w:rsidR="003516A7" w:rsidRPr="003516A7" w14:paraId="0006266D" w14:textId="77777777" w:rsidTr="003516A7">
        <w:trPr>
          <w:trHeight w:val="300"/>
        </w:trPr>
        <w:tc>
          <w:tcPr>
            <w:tcW w:w="2280" w:type="dxa"/>
            <w:tcBorders>
              <w:top w:val="single" w:sz="8" w:space="0" w:color="auto"/>
              <w:left w:val="single" w:sz="8" w:space="0" w:color="auto"/>
              <w:bottom w:val="nil"/>
              <w:right w:val="nil"/>
            </w:tcBorders>
            <w:shd w:val="clear" w:color="auto" w:fill="auto"/>
            <w:noWrap/>
            <w:vAlign w:val="bottom"/>
            <w:hideMark/>
          </w:tcPr>
          <w:p w14:paraId="5C7CE9F4" w14:textId="77777777" w:rsidR="003516A7" w:rsidRPr="003516A7" w:rsidRDefault="003516A7" w:rsidP="003516A7">
            <w:pPr>
              <w:spacing w:after="0" w:line="240" w:lineRule="auto"/>
              <w:ind w:left="0" w:right="0" w:firstLine="0"/>
              <w:jc w:val="left"/>
              <w:rPr>
                <w:szCs w:val="24"/>
              </w:rPr>
            </w:pPr>
            <w:proofErr w:type="gramStart"/>
            <w:r w:rsidRPr="003516A7">
              <w:rPr>
                <w:szCs w:val="24"/>
              </w:rPr>
              <w:t>pH</w:t>
            </w:r>
            <w:proofErr w:type="gramEnd"/>
            <w:r w:rsidRPr="003516A7">
              <w:rPr>
                <w:szCs w:val="24"/>
              </w:rPr>
              <w:t xml:space="preserve"> </w:t>
            </w:r>
          </w:p>
        </w:tc>
        <w:tc>
          <w:tcPr>
            <w:tcW w:w="2500" w:type="dxa"/>
            <w:tcBorders>
              <w:top w:val="single" w:sz="8" w:space="0" w:color="auto"/>
              <w:left w:val="nil"/>
              <w:bottom w:val="nil"/>
              <w:right w:val="single" w:sz="8" w:space="0" w:color="auto"/>
            </w:tcBorders>
            <w:shd w:val="clear" w:color="auto" w:fill="auto"/>
            <w:noWrap/>
            <w:hideMark/>
          </w:tcPr>
          <w:p w14:paraId="3F2816F9" w14:textId="77777777" w:rsidR="003516A7" w:rsidRPr="003516A7" w:rsidRDefault="003516A7" w:rsidP="003516A7">
            <w:pPr>
              <w:spacing w:after="0" w:line="240" w:lineRule="auto"/>
              <w:ind w:left="0" w:right="0" w:firstLine="0"/>
              <w:jc w:val="center"/>
              <w:rPr>
                <w:szCs w:val="24"/>
              </w:rPr>
            </w:pPr>
            <w:r w:rsidRPr="003516A7">
              <w:rPr>
                <w:szCs w:val="24"/>
              </w:rPr>
              <w:t>5,3 - 7,1</w:t>
            </w:r>
          </w:p>
        </w:tc>
      </w:tr>
      <w:tr w:rsidR="003516A7" w:rsidRPr="003516A7" w14:paraId="19F79DAC"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06FCE085" w14:textId="77777777" w:rsidR="003516A7" w:rsidRPr="003516A7" w:rsidRDefault="003516A7" w:rsidP="003516A7">
            <w:pPr>
              <w:spacing w:after="0" w:line="240" w:lineRule="auto"/>
              <w:ind w:left="0" w:right="0" w:firstLine="0"/>
              <w:jc w:val="left"/>
              <w:rPr>
                <w:szCs w:val="24"/>
              </w:rPr>
            </w:pPr>
            <w:r w:rsidRPr="003516A7">
              <w:rPr>
                <w:szCs w:val="24"/>
              </w:rPr>
              <w:t>Acidez (% ácido cítrico)</w:t>
            </w:r>
          </w:p>
        </w:tc>
        <w:tc>
          <w:tcPr>
            <w:tcW w:w="2500" w:type="dxa"/>
            <w:tcBorders>
              <w:top w:val="nil"/>
              <w:left w:val="nil"/>
              <w:bottom w:val="nil"/>
              <w:right w:val="single" w:sz="8" w:space="0" w:color="auto"/>
            </w:tcBorders>
            <w:shd w:val="clear" w:color="auto" w:fill="auto"/>
            <w:noWrap/>
            <w:hideMark/>
          </w:tcPr>
          <w:p w14:paraId="2E3DF548" w14:textId="77777777" w:rsidR="003516A7" w:rsidRPr="003516A7" w:rsidRDefault="003516A7" w:rsidP="003516A7">
            <w:pPr>
              <w:spacing w:after="0" w:line="240" w:lineRule="auto"/>
              <w:ind w:left="0" w:right="0" w:firstLine="0"/>
              <w:jc w:val="center"/>
              <w:rPr>
                <w:szCs w:val="24"/>
              </w:rPr>
            </w:pPr>
            <w:r w:rsidRPr="003516A7">
              <w:rPr>
                <w:szCs w:val="24"/>
              </w:rPr>
              <w:t>0,05 - 0,018</w:t>
            </w:r>
          </w:p>
        </w:tc>
      </w:tr>
      <w:tr w:rsidR="003516A7" w:rsidRPr="003516A7" w14:paraId="0522724B"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4B68A0EE" w14:textId="77777777" w:rsidR="003516A7" w:rsidRPr="003516A7" w:rsidRDefault="003516A7" w:rsidP="003516A7">
            <w:pPr>
              <w:spacing w:after="0" w:line="240" w:lineRule="auto"/>
              <w:ind w:left="0" w:right="0" w:firstLine="0"/>
              <w:jc w:val="left"/>
              <w:rPr>
                <w:szCs w:val="24"/>
              </w:rPr>
            </w:pPr>
            <w:r w:rsidRPr="003516A7">
              <w:rPr>
                <w:szCs w:val="24"/>
              </w:rPr>
              <w:t>˚Brix</w:t>
            </w:r>
          </w:p>
        </w:tc>
        <w:tc>
          <w:tcPr>
            <w:tcW w:w="2500" w:type="dxa"/>
            <w:tcBorders>
              <w:top w:val="nil"/>
              <w:left w:val="nil"/>
              <w:bottom w:val="nil"/>
              <w:right w:val="single" w:sz="8" w:space="0" w:color="auto"/>
            </w:tcBorders>
            <w:shd w:val="clear" w:color="auto" w:fill="auto"/>
            <w:noWrap/>
            <w:hideMark/>
          </w:tcPr>
          <w:p w14:paraId="07F2B550" w14:textId="77777777" w:rsidR="003516A7" w:rsidRPr="003516A7" w:rsidRDefault="003516A7" w:rsidP="003516A7">
            <w:pPr>
              <w:spacing w:after="0" w:line="240" w:lineRule="auto"/>
              <w:ind w:left="0" w:right="0" w:firstLine="0"/>
              <w:jc w:val="center"/>
              <w:rPr>
                <w:szCs w:val="24"/>
              </w:rPr>
            </w:pPr>
            <w:r w:rsidRPr="003516A7">
              <w:rPr>
                <w:szCs w:val="24"/>
              </w:rPr>
              <w:t>12,0 - 17,0</w:t>
            </w:r>
          </w:p>
        </w:tc>
      </w:tr>
      <w:tr w:rsidR="003516A7" w:rsidRPr="003516A7" w14:paraId="06466554"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15874B84" w14:textId="77777777" w:rsidR="003516A7" w:rsidRPr="003516A7" w:rsidRDefault="003516A7" w:rsidP="003516A7">
            <w:pPr>
              <w:spacing w:after="0" w:line="240" w:lineRule="auto"/>
              <w:ind w:left="0" w:right="0" w:firstLine="0"/>
              <w:jc w:val="left"/>
              <w:rPr>
                <w:szCs w:val="24"/>
              </w:rPr>
            </w:pPr>
            <w:r w:rsidRPr="003516A7">
              <w:rPr>
                <w:szCs w:val="24"/>
              </w:rPr>
              <w:t>Humidade (%)</w:t>
            </w:r>
          </w:p>
        </w:tc>
        <w:tc>
          <w:tcPr>
            <w:tcW w:w="2500" w:type="dxa"/>
            <w:tcBorders>
              <w:top w:val="nil"/>
              <w:left w:val="nil"/>
              <w:bottom w:val="nil"/>
              <w:right w:val="single" w:sz="8" w:space="0" w:color="auto"/>
            </w:tcBorders>
            <w:shd w:val="clear" w:color="auto" w:fill="auto"/>
            <w:noWrap/>
            <w:hideMark/>
          </w:tcPr>
          <w:p w14:paraId="0268B723" w14:textId="7964F80E" w:rsidR="003516A7" w:rsidRPr="003516A7" w:rsidRDefault="003516A7" w:rsidP="003516A7">
            <w:pPr>
              <w:spacing w:after="0" w:line="240" w:lineRule="auto"/>
              <w:ind w:left="0" w:right="0" w:firstLine="0"/>
              <w:jc w:val="center"/>
              <w:rPr>
                <w:szCs w:val="24"/>
              </w:rPr>
            </w:pPr>
            <w:r w:rsidRPr="003516A7">
              <w:rPr>
                <w:szCs w:val="24"/>
              </w:rPr>
              <w:t xml:space="preserve">84 </w:t>
            </w:r>
            <w:r w:rsidR="00703FCF">
              <w:rPr>
                <w:szCs w:val="24"/>
              </w:rPr>
              <w:t>–</w:t>
            </w:r>
            <w:r w:rsidRPr="003516A7">
              <w:rPr>
                <w:szCs w:val="24"/>
              </w:rPr>
              <w:t xml:space="preserve"> 90</w:t>
            </w:r>
          </w:p>
        </w:tc>
      </w:tr>
      <w:tr w:rsidR="003516A7" w:rsidRPr="003516A7" w14:paraId="6F63DC8D"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5A9F00E" w14:textId="77777777" w:rsidR="003516A7" w:rsidRPr="003516A7" w:rsidRDefault="003516A7" w:rsidP="003516A7">
            <w:pPr>
              <w:spacing w:after="0" w:line="240" w:lineRule="auto"/>
              <w:ind w:left="0" w:right="0" w:firstLine="0"/>
              <w:jc w:val="left"/>
              <w:rPr>
                <w:szCs w:val="24"/>
              </w:rPr>
            </w:pPr>
            <w:r w:rsidRPr="003516A7">
              <w:rPr>
                <w:szCs w:val="24"/>
              </w:rPr>
              <w:t>Proteína</w:t>
            </w:r>
          </w:p>
        </w:tc>
        <w:tc>
          <w:tcPr>
            <w:tcW w:w="2500" w:type="dxa"/>
            <w:tcBorders>
              <w:top w:val="nil"/>
              <w:left w:val="nil"/>
              <w:bottom w:val="nil"/>
              <w:right w:val="single" w:sz="8" w:space="0" w:color="auto"/>
            </w:tcBorders>
            <w:shd w:val="clear" w:color="auto" w:fill="auto"/>
            <w:noWrap/>
            <w:hideMark/>
          </w:tcPr>
          <w:p w14:paraId="736B1DD1" w14:textId="77777777" w:rsidR="003516A7" w:rsidRPr="003516A7" w:rsidRDefault="003516A7" w:rsidP="003516A7">
            <w:pPr>
              <w:spacing w:after="0" w:line="240" w:lineRule="auto"/>
              <w:ind w:left="0" w:right="0" w:firstLine="0"/>
              <w:jc w:val="center"/>
              <w:rPr>
                <w:szCs w:val="24"/>
              </w:rPr>
            </w:pPr>
            <w:r w:rsidRPr="003516A7">
              <w:rPr>
                <w:szCs w:val="24"/>
              </w:rPr>
              <w:t>0,2 - 1,6</w:t>
            </w:r>
          </w:p>
        </w:tc>
      </w:tr>
      <w:tr w:rsidR="003516A7" w:rsidRPr="003516A7" w14:paraId="49BEF2C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6510F05A" w14:textId="77777777" w:rsidR="003516A7" w:rsidRPr="003516A7" w:rsidRDefault="003516A7" w:rsidP="003516A7">
            <w:pPr>
              <w:spacing w:after="0" w:line="240" w:lineRule="auto"/>
              <w:ind w:left="0" w:right="0" w:firstLine="0"/>
              <w:jc w:val="left"/>
              <w:rPr>
                <w:szCs w:val="24"/>
              </w:rPr>
            </w:pPr>
            <w:r w:rsidRPr="003516A7">
              <w:rPr>
                <w:szCs w:val="24"/>
              </w:rPr>
              <w:t>Gordura (%)</w:t>
            </w:r>
          </w:p>
        </w:tc>
        <w:tc>
          <w:tcPr>
            <w:tcW w:w="2500" w:type="dxa"/>
            <w:tcBorders>
              <w:top w:val="nil"/>
              <w:left w:val="nil"/>
              <w:bottom w:val="nil"/>
              <w:right w:val="single" w:sz="8" w:space="0" w:color="auto"/>
            </w:tcBorders>
            <w:shd w:val="clear" w:color="auto" w:fill="auto"/>
            <w:noWrap/>
            <w:hideMark/>
          </w:tcPr>
          <w:p w14:paraId="55E19286" w14:textId="77777777" w:rsidR="003516A7" w:rsidRPr="003516A7" w:rsidRDefault="003516A7" w:rsidP="003516A7">
            <w:pPr>
              <w:spacing w:after="0" w:line="240" w:lineRule="auto"/>
              <w:ind w:left="0" w:right="0" w:firstLine="0"/>
              <w:jc w:val="center"/>
              <w:rPr>
                <w:szCs w:val="24"/>
              </w:rPr>
            </w:pPr>
            <w:r w:rsidRPr="003516A7">
              <w:rPr>
                <w:szCs w:val="24"/>
              </w:rPr>
              <w:t>0,09 - 0,7</w:t>
            </w:r>
          </w:p>
        </w:tc>
      </w:tr>
      <w:tr w:rsidR="003516A7" w:rsidRPr="003516A7" w14:paraId="0CBADE97"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3D7381F2" w14:textId="77777777" w:rsidR="003516A7" w:rsidRPr="003516A7" w:rsidRDefault="003516A7" w:rsidP="003516A7">
            <w:pPr>
              <w:spacing w:after="0" w:line="240" w:lineRule="auto"/>
              <w:ind w:left="0" w:right="0" w:firstLine="0"/>
              <w:jc w:val="left"/>
              <w:rPr>
                <w:szCs w:val="24"/>
              </w:rPr>
            </w:pPr>
            <w:r w:rsidRPr="003516A7">
              <w:rPr>
                <w:szCs w:val="24"/>
              </w:rPr>
              <w:t>Fibra (%)</w:t>
            </w:r>
          </w:p>
        </w:tc>
        <w:tc>
          <w:tcPr>
            <w:tcW w:w="2500" w:type="dxa"/>
            <w:tcBorders>
              <w:top w:val="nil"/>
              <w:left w:val="nil"/>
              <w:bottom w:val="nil"/>
              <w:right w:val="single" w:sz="8" w:space="0" w:color="auto"/>
            </w:tcBorders>
            <w:shd w:val="clear" w:color="auto" w:fill="auto"/>
            <w:noWrap/>
            <w:hideMark/>
          </w:tcPr>
          <w:p w14:paraId="134D04B9" w14:textId="77777777" w:rsidR="003516A7" w:rsidRPr="003516A7" w:rsidRDefault="003516A7" w:rsidP="003516A7">
            <w:pPr>
              <w:spacing w:after="0" w:line="240" w:lineRule="auto"/>
              <w:ind w:left="0" w:right="0" w:firstLine="0"/>
              <w:jc w:val="center"/>
              <w:rPr>
                <w:szCs w:val="24"/>
              </w:rPr>
            </w:pPr>
            <w:r w:rsidRPr="003516A7">
              <w:rPr>
                <w:szCs w:val="24"/>
              </w:rPr>
              <w:t>3,1</w:t>
            </w:r>
          </w:p>
        </w:tc>
      </w:tr>
      <w:tr w:rsidR="003516A7" w:rsidRPr="003516A7" w14:paraId="1D40916B"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77F9EEDD" w14:textId="77777777" w:rsidR="003516A7" w:rsidRPr="003516A7" w:rsidRDefault="003516A7" w:rsidP="003516A7">
            <w:pPr>
              <w:spacing w:after="0" w:line="240" w:lineRule="auto"/>
              <w:ind w:left="0" w:right="0" w:firstLine="0"/>
              <w:jc w:val="left"/>
              <w:rPr>
                <w:szCs w:val="24"/>
              </w:rPr>
            </w:pPr>
            <w:r w:rsidRPr="003516A7">
              <w:rPr>
                <w:szCs w:val="24"/>
              </w:rPr>
              <w:t>Cinza (%)</w:t>
            </w:r>
          </w:p>
        </w:tc>
        <w:tc>
          <w:tcPr>
            <w:tcW w:w="2500" w:type="dxa"/>
            <w:tcBorders>
              <w:top w:val="nil"/>
              <w:left w:val="nil"/>
              <w:bottom w:val="nil"/>
              <w:right w:val="single" w:sz="8" w:space="0" w:color="auto"/>
            </w:tcBorders>
            <w:shd w:val="clear" w:color="auto" w:fill="auto"/>
            <w:noWrap/>
            <w:hideMark/>
          </w:tcPr>
          <w:p w14:paraId="4A4D9456" w14:textId="49C16DE0" w:rsidR="003516A7" w:rsidRPr="003516A7" w:rsidRDefault="003516A7" w:rsidP="003516A7">
            <w:pPr>
              <w:spacing w:after="0" w:line="240" w:lineRule="auto"/>
              <w:ind w:left="0" w:right="0" w:firstLine="0"/>
              <w:jc w:val="center"/>
              <w:rPr>
                <w:szCs w:val="24"/>
              </w:rPr>
            </w:pPr>
            <w:r w:rsidRPr="003516A7">
              <w:rPr>
                <w:szCs w:val="24"/>
              </w:rPr>
              <w:t xml:space="preserve">0,3 </w:t>
            </w:r>
            <w:r w:rsidR="00703FCF">
              <w:rPr>
                <w:szCs w:val="24"/>
              </w:rPr>
              <w:t>–</w:t>
            </w:r>
            <w:r w:rsidRPr="003516A7">
              <w:rPr>
                <w:szCs w:val="24"/>
              </w:rPr>
              <w:t xml:space="preserve"> 1</w:t>
            </w:r>
          </w:p>
        </w:tc>
      </w:tr>
      <w:tr w:rsidR="003516A7" w:rsidRPr="003516A7" w14:paraId="7C937536"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117781B" w14:textId="77777777" w:rsidR="003516A7" w:rsidRPr="003516A7" w:rsidRDefault="003516A7" w:rsidP="003516A7">
            <w:pPr>
              <w:spacing w:after="0" w:line="240" w:lineRule="auto"/>
              <w:ind w:left="0" w:right="0" w:firstLine="0"/>
              <w:jc w:val="left"/>
              <w:rPr>
                <w:szCs w:val="24"/>
              </w:rPr>
            </w:pPr>
            <w:r w:rsidRPr="003516A7">
              <w:rPr>
                <w:szCs w:val="24"/>
              </w:rPr>
              <w:t>Açucares totais</w:t>
            </w:r>
          </w:p>
        </w:tc>
        <w:tc>
          <w:tcPr>
            <w:tcW w:w="2500" w:type="dxa"/>
            <w:tcBorders>
              <w:top w:val="nil"/>
              <w:left w:val="nil"/>
              <w:bottom w:val="nil"/>
              <w:right w:val="single" w:sz="8" w:space="0" w:color="auto"/>
            </w:tcBorders>
            <w:shd w:val="clear" w:color="auto" w:fill="auto"/>
            <w:noWrap/>
            <w:hideMark/>
          </w:tcPr>
          <w:p w14:paraId="0C679388" w14:textId="77777777" w:rsidR="003516A7" w:rsidRPr="003516A7" w:rsidRDefault="003516A7" w:rsidP="003516A7">
            <w:pPr>
              <w:spacing w:after="0" w:line="240" w:lineRule="auto"/>
              <w:ind w:left="0" w:right="0" w:firstLine="0"/>
              <w:jc w:val="center"/>
              <w:rPr>
                <w:szCs w:val="24"/>
              </w:rPr>
            </w:pPr>
            <w:r w:rsidRPr="003516A7">
              <w:rPr>
                <w:szCs w:val="24"/>
              </w:rPr>
              <w:t>10,0 - 17,0</w:t>
            </w:r>
          </w:p>
        </w:tc>
      </w:tr>
      <w:tr w:rsidR="003516A7" w:rsidRPr="003516A7" w14:paraId="0B9834D8" w14:textId="77777777" w:rsidTr="003516A7">
        <w:trPr>
          <w:trHeight w:val="300"/>
        </w:trPr>
        <w:tc>
          <w:tcPr>
            <w:tcW w:w="2280" w:type="dxa"/>
            <w:tcBorders>
              <w:top w:val="single" w:sz="4" w:space="0" w:color="auto"/>
              <w:left w:val="single" w:sz="8" w:space="0" w:color="auto"/>
              <w:bottom w:val="single" w:sz="4" w:space="0" w:color="auto"/>
              <w:right w:val="nil"/>
            </w:tcBorders>
            <w:shd w:val="clear" w:color="auto" w:fill="auto"/>
            <w:noWrap/>
            <w:vAlign w:val="bottom"/>
            <w:hideMark/>
          </w:tcPr>
          <w:p w14:paraId="40048A49" w14:textId="77777777" w:rsidR="003516A7" w:rsidRPr="003516A7" w:rsidRDefault="003516A7" w:rsidP="003516A7">
            <w:pPr>
              <w:spacing w:after="0" w:line="240" w:lineRule="auto"/>
              <w:ind w:left="0" w:right="0" w:firstLine="0"/>
              <w:jc w:val="left"/>
              <w:rPr>
                <w:szCs w:val="24"/>
              </w:rPr>
            </w:pPr>
            <w:r w:rsidRPr="003516A7">
              <w:rPr>
                <w:szCs w:val="24"/>
              </w:rPr>
              <w:t>Minerais</w:t>
            </w:r>
          </w:p>
        </w:tc>
        <w:tc>
          <w:tcPr>
            <w:tcW w:w="2500" w:type="dxa"/>
            <w:tcBorders>
              <w:top w:val="single" w:sz="4" w:space="0" w:color="auto"/>
              <w:left w:val="nil"/>
              <w:bottom w:val="single" w:sz="4" w:space="0" w:color="auto"/>
              <w:right w:val="single" w:sz="8" w:space="0" w:color="auto"/>
            </w:tcBorders>
            <w:shd w:val="clear" w:color="auto" w:fill="auto"/>
            <w:noWrap/>
            <w:vAlign w:val="bottom"/>
            <w:hideMark/>
          </w:tcPr>
          <w:p w14:paraId="0939DB21" w14:textId="77777777" w:rsidR="003516A7" w:rsidRPr="003516A7" w:rsidRDefault="003516A7" w:rsidP="003516A7">
            <w:pPr>
              <w:spacing w:after="0" w:line="240" w:lineRule="auto"/>
              <w:ind w:left="0" w:right="0" w:firstLine="0"/>
              <w:jc w:val="left"/>
              <w:rPr>
                <w:szCs w:val="24"/>
              </w:rPr>
            </w:pPr>
            <w:proofErr w:type="gramStart"/>
            <w:r w:rsidRPr="003516A7">
              <w:rPr>
                <w:szCs w:val="24"/>
              </w:rPr>
              <w:t>mg</w:t>
            </w:r>
            <w:proofErr w:type="gramEnd"/>
            <w:r w:rsidRPr="003516A7">
              <w:rPr>
                <w:szCs w:val="24"/>
              </w:rPr>
              <w:t>/100g peso fresco</w:t>
            </w:r>
          </w:p>
        </w:tc>
      </w:tr>
      <w:tr w:rsidR="003516A7" w:rsidRPr="003516A7" w14:paraId="5BB5CAF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692FEA41" w14:textId="77777777" w:rsidR="003516A7" w:rsidRPr="003516A7" w:rsidRDefault="003516A7" w:rsidP="003516A7">
            <w:pPr>
              <w:spacing w:after="0" w:line="240" w:lineRule="auto"/>
              <w:ind w:left="0" w:right="0" w:firstLine="0"/>
              <w:jc w:val="left"/>
              <w:rPr>
                <w:szCs w:val="24"/>
              </w:rPr>
            </w:pPr>
            <w:r w:rsidRPr="003516A7">
              <w:rPr>
                <w:szCs w:val="24"/>
              </w:rPr>
              <w:t>Cálcio (Ca)</w:t>
            </w:r>
          </w:p>
        </w:tc>
        <w:tc>
          <w:tcPr>
            <w:tcW w:w="2500" w:type="dxa"/>
            <w:tcBorders>
              <w:top w:val="nil"/>
              <w:left w:val="nil"/>
              <w:bottom w:val="nil"/>
              <w:right w:val="single" w:sz="8" w:space="0" w:color="auto"/>
            </w:tcBorders>
            <w:shd w:val="clear" w:color="auto" w:fill="auto"/>
            <w:noWrap/>
            <w:hideMark/>
          </w:tcPr>
          <w:p w14:paraId="6E3AAAC2" w14:textId="25052DA4" w:rsidR="003516A7" w:rsidRPr="003516A7" w:rsidRDefault="003516A7" w:rsidP="003516A7">
            <w:pPr>
              <w:spacing w:after="0" w:line="240" w:lineRule="auto"/>
              <w:ind w:left="0" w:right="0" w:firstLine="0"/>
              <w:jc w:val="center"/>
              <w:rPr>
                <w:szCs w:val="24"/>
              </w:rPr>
            </w:pPr>
            <w:r w:rsidRPr="003516A7">
              <w:rPr>
                <w:szCs w:val="24"/>
              </w:rPr>
              <w:t xml:space="preserve">12,8 </w:t>
            </w:r>
            <w:r w:rsidR="00703FCF">
              <w:rPr>
                <w:szCs w:val="24"/>
              </w:rPr>
              <w:t>–</w:t>
            </w:r>
            <w:r w:rsidRPr="003516A7">
              <w:rPr>
                <w:szCs w:val="24"/>
              </w:rPr>
              <w:t xml:space="preserve"> 59</w:t>
            </w:r>
          </w:p>
        </w:tc>
      </w:tr>
      <w:tr w:rsidR="003516A7" w:rsidRPr="003516A7" w14:paraId="63D20287"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683739C5" w14:textId="77777777" w:rsidR="003516A7" w:rsidRPr="003516A7" w:rsidRDefault="003516A7" w:rsidP="003516A7">
            <w:pPr>
              <w:spacing w:after="0" w:line="240" w:lineRule="auto"/>
              <w:ind w:left="0" w:right="0" w:firstLine="0"/>
              <w:jc w:val="left"/>
              <w:rPr>
                <w:szCs w:val="24"/>
              </w:rPr>
            </w:pPr>
            <w:r w:rsidRPr="003516A7">
              <w:rPr>
                <w:szCs w:val="24"/>
              </w:rPr>
              <w:t>Magnésio (Mg)</w:t>
            </w:r>
          </w:p>
        </w:tc>
        <w:tc>
          <w:tcPr>
            <w:tcW w:w="2500" w:type="dxa"/>
            <w:tcBorders>
              <w:top w:val="nil"/>
              <w:left w:val="nil"/>
              <w:bottom w:val="nil"/>
              <w:right w:val="single" w:sz="8" w:space="0" w:color="auto"/>
            </w:tcBorders>
            <w:shd w:val="clear" w:color="auto" w:fill="auto"/>
            <w:noWrap/>
            <w:hideMark/>
          </w:tcPr>
          <w:p w14:paraId="29B01994" w14:textId="77777777" w:rsidR="003516A7" w:rsidRPr="003516A7" w:rsidRDefault="003516A7" w:rsidP="003516A7">
            <w:pPr>
              <w:spacing w:after="0" w:line="240" w:lineRule="auto"/>
              <w:ind w:left="0" w:right="0" w:firstLine="0"/>
              <w:jc w:val="center"/>
              <w:rPr>
                <w:szCs w:val="24"/>
              </w:rPr>
            </w:pPr>
            <w:r w:rsidRPr="003516A7">
              <w:rPr>
                <w:szCs w:val="24"/>
              </w:rPr>
              <w:t>16,1 - 98,4</w:t>
            </w:r>
          </w:p>
        </w:tc>
      </w:tr>
      <w:tr w:rsidR="003516A7" w:rsidRPr="003516A7" w14:paraId="4BA4DC1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0AB7E4FD" w14:textId="77777777" w:rsidR="003516A7" w:rsidRPr="003516A7" w:rsidRDefault="003516A7" w:rsidP="003516A7">
            <w:pPr>
              <w:spacing w:after="0" w:line="240" w:lineRule="auto"/>
              <w:ind w:left="0" w:right="0" w:firstLine="0"/>
              <w:jc w:val="left"/>
              <w:rPr>
                <w:szCs w:val="24"/>
              </w:rPr>
            </w:pPr>
            <w:r w:rsidRPr="003516A7">
              <w:rPr>
                <w:szCs w:val="24"/>
              </w:rPr>
              <w:t>Ferro (Fe)</w:t>
            </w:r>
          </w:p>
        </w:tc>
        <w:tc>
          <w:tcPr>
            <w:tcW w:w="2500" w:type="dxa"/>
            <w:tcBorders>
              <w:top w:val="nil"/>
              <w:left w:val="nil"/>
              <w:bottom w:val="nil"/>
              <w:right w:val="single" w:sz="8" w:space="0" w:color="auto"/>
            </w:tcBorders>
            <w:shd w:val="clear" w:color="auto" w:fill="auto"/>
            <w:noWrap/>
            <w:hideMark/>
          </w:tcPr>
          <w:p w14:paraId="4BD87F9F" w14:textId="77777777" w:rsidR="003516A7" w:rsidRPr="003516A7" w:rsidRDefault="003516A7" w:rsidP="003516A7">
            <w:pPr>
              <w:spacing w:after="0" w:line="240" w:lineRule="auto"/>
              <w:ind w:left="0" w:right="0" w:firstLine="0"/>
              <w:jc w:val="center"/>
              <w:rPr>
                <w:szCs w:val="24"/>
              </w:rPr>
            </w:pPr>
            <w:r w:rsidRPr="003516A7">
              <w:rPr>
                <w:szCs w:val="24"/>
              </w:rPr>
              <w:t>0,4 - 1,5</w:t>
            </w:r>
          </w:p>
        </w:tc>
      </w:tr>
      <w:tr w:rsidR="003516A7" w:rsidRPr="003516A7" w14:paraId="32E78DA2"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0E9B41D5" w14:textId="77777777" w:rsidR="003516A7" w:rsidRPr="003516A7" w:rsidRDefault="003516A7" w:rsidP="003516A7">
            <w:pPr>
              <w:spacing w:after="0" w:line="240" w:lineRule="auto"/>
              <w:ind w:left="0" w:right="0" w:firstLine="0"/>
              <w:jc w:val="left"/>
              <w:rPr>
                <w:szCs w:val="24"/>
              </w:rPr>
            </w:pPr>
            <w:r w:rsidRPr="003516A7">
              <w:rPr>
                <w:szCs w:val="24"/>
              </w:rPr>
              <w:t>Sódio (Na)</w:t>
            </w:r>
          </w:p>
        </w:tc>
        <w:tc>
          <w:tcPr>
            <w:tcW w:w="2500" w:type="dxa"/>
            <w:tcBorders>
              <w:top w:val="nil"/>
              <w:left w:val="nil"/>
              <w:bottom w:val="nil"/>
              <w:right w:val="single" w:sz="8" w:space="0" w:color="auto"/>
            </w:tcBorders>
            <w:shd w:val="clear" w:color="auto" w:fill="auto"/>
            <w:noWrap/>
            <w:hideMark/>
          </w:tcPr>
          <w:p w14:paraId="7539510E" w14:textId="77777777" w:rsidR="003516A7" w:rsidRPr="003516A7" w:rsidRDefault="003516A7" w:rsidP="003516A7">
            <w:pPr>
              <w:spacing w:after="0" w:line="240" w:lineRule="auto"/>
              <w:ind w:left="0" w:right="0" w:firstLine="0"/>
              <w:jc w:val="center"/>
              <w:rPr>
                <w:szCs w:val="24"/>
              </w:rPr>
            </w:pPr>
            <w:r w:rsidRPr="003516A7">
              <w:rPr>
                <w:szCs w:val="24"/>
              </w:rPr>
              <w:t>0,6 -1,1</w:t>
            </w:r>
          </w:p>
        </w:tc>
      </w:tr>
      <w:tr w:rsidR="003516A7" w:rsidRPr="003516A7" w14:paraId="0E17C8D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783149F4" w14:textId="77777777" w:rsidR="003516A7" w:rsidRPr="003516A7" w:rsidRDefault="003516A7" w:rsidP="003516A7">
            <w:pPr>
              <w:spacing w:after="0" w:line="240" w:lineRule="auto"/>
              <w:ind w:left="0" w:right="0" w:firstLine="0"/>
              <w:jc w:val="left"/>
              <w:rPr>
                <w:szCs w:val="24"/>
              </w:rPr>
            </w:pPr>
            <w:r w:rsidRPr="003516A7">
              <w:rPr>
                <w:szCs w:val="24"/>
              </w:rPr>
              <w:t>Potássio (K)</w:t>
            </w:r>
          </w:p>
        </w:tc>
        <w:tc>
          <w:tcPr>
            <w:tcW w:w="2500" w:type="dxa"/>
            <w:tcBorders>
              <w:top w:val="nil"/>
              <w:left w:val="nil"/>
              <w:bottom w:val="nil"/>
              <w:right w:val="single" w:sz="8" w:space="0" w:color="auto"/>
            </w:tcBorders>
            <w:shd w:val="clear" w:color="auto" w:fill="auto"/>
            <w:noWrap/>
            <w:hideMark/>
          </w:tcPr>
          <w:p w14:paraId="15EF0822" w14:textId="5B85880B" w:rsidR="003516A7" w:rsidRPr="003516A7" w:rsidRDefault="003516A7" w:rsidP="003516A7">
            <w:pPr>
              <w:spacing w:after="0" w:line="240" w:lineRule="auto"/>
              <w:ind w:left="0" w:right="0" w:firstLine="0"/>
              <w:jc w:val="center"/>
              <w:rPr>
                <w:szCs w:val="24"/>
              </w:rPr>
            </w:pPr>
            <w:r w:rsidRPr="003516A7">
              <w:rPr>
                <w:szCs w:val="24"/>
              </w:rPr>
              <w:t xml:space="preserve">90 </w:t>
            </w:r>
            <w:r w:rsidR="00703FCF">
              <w:rPr>
                <w:szCs w:val="24"/>
              </w:rPr>
              <w:t>–</w:t>
            </w:r>
            <w:r w:rsidRPr="003516A7">
              <w:rPr>
                <w:szCs w:val="24"/>
              </w:rPr>
              <w:t xml:space="preserve"> 220</w:t>
            </w:r>
          </w:p>
        </w:tc>
      </w:tr>
      <w:tr w:rsidR="003516A7" w:rsidRPr="003516A7" w14:paraId="64551783"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417F797A" w14:textId="77777777" w:rsidR="003516A7" w:rsidRPr="003516A7" w:rsidRDefault="003516A7" w:rsidP="003516A7">
            <w:pPr>
              <w:spacing w:after="0" w:line="240" w:lineRule="auto"/>
              <w:ind w:left="0" w:right="0" w:firstLine="0"/>
              <w:jc w:val="left"/>
              <w:rPr>
                <w:szCs w:val="24"/>
              </w:rPr>
            </w:pPr>
            <w:r w:rsidRPr="003516A7">
              <w:rPr>
                <w:szCs w:val="24"/>
              </w:rPr>
              <w:t>Fósforo (P)</w:t>
            </w:r>
          </w:p>
        </w:tc>
        <w:tc>
          <w:tcPr>
            <w:tcW w:w="2500" w:type="dxa"/>
            <w:tcBorders>
              <w:top w:val="nil"/>
              <w:left w:val="nil"/>
              <w:bottom w:val="nil"/>
              <w:right w:val="single" w:sz="8" w:space="0" w:color="auto"/>
            </w:tcBorders>
            <w:shd w:val="clear" w:color="auto" w:fill="auto"/>
            <w:noWrap/>
            <w:hideMark/>
          </w:tcPr>
          <w:p w14:paraId="526413B6" w14:textId="77777777" w:rsidR="003516A7" w:rsidRPr="003516A7" w:rsidRDefault="003516A7" w:rsidP="003516A7">
            <w:pPr>
              <w:spacing w:after="0" w:line="240" w:lineRule="auto"/>
              <w:ind w:left="0" w:right="0" w:firstLine="0"/>
              <w:jc w:val="center"/>
              <w:rPr>
                <w:szCs w:val="24"/>
              </w:rPr>
            </w:pPr>
            <w:r w:rsidRPr="003516A7">
              <w:rPr>
                <w:szCs w:val="24"/>
              </w:rPr>
              <w:t>15 - 32,8</w:t>
            </w:r>
          </w:p>
        </w:tc>
      </w:tr>
      <w:tr w:rsidR="003516A7" w:rsidRPr="003516A7" w14:paraId="4A160332" w14:textId="77777777" w:rsidTr="003516A7">
        <w:trPr>
          <w:trHeight w:val="300"/>
        </w:trPr>
        <w:tc>
          <w:tcPr>
            <w:tcW w:w="2280" w:type="dxa"/>
            <w:tcBorders>
              <w:top w:val="single" w:sz="4" w:space="0" w:color="auto"/>
              <w:left w:val="single" w:sz="8" w:space="0" w:color="auto"/>
              <w:bottom w:val="single" w:sz="4" w:space="0" w:color="auto"/>
              <w:right w:val="nil"/>
            </w:tcBorders>
            <w:shd w:val="clear" w:color="auto" w:fill="auto"/>
            <w:noWrap/>
            <w:vAlign w:val="bottom"/>
            <w:hideMark/>
          </w:tcPr>
          <w:p w14:paraId="2F73FA19" w14:textId="77777777" w:rsidR="003516A7" w:rsidRPr="003516A7" w:rsidRDefault="003516A7" w:rsidP="003516A7">
            <w:pPr>
              <w:spacing w:after="0" w:line="240" w:lineRule="auto"/>
              <w:ind w:left="0" w:right="0" w:firstLine="0"/>
              <w:jc w:val="left"/>
              <w:rPr>
                <w:szCs w:val="24"/>
              </w:rPr>
            </w:pPr>
            <w:r w:rsidRPr="003516A7">
              <w:rPr>
                <w:szCs w:val="24"/>
              </w:rPr>
              <w:t>Compostos Nutritivos</w:t>
            </w:r>
          </w:p>
        </w:tc>
        <w:tc>
          <w:tcPr>
            <w:tcW w:w="2500" w:type="dxa"/>
            <w:tcBorders>
              <w:top w:val="single" w:sz="4" w:space="0" w:color="auto"/>
              <w:left w:val="nil"/>
              <w:bottom w:val="single" w:sz="4" w:space="0" w:color="auto"/>
              <w:right w:val="single" w:sz="8" w:space="0" w:color="auto"/>
            </w:tcBorders>
            <w:shd w:val="clear" w:color="auto" w:fill="auto"/>
            <w:noWrap/>
            <w:hideMark/>
          </w:tcPr>
          <w:p w14:paraId="0F4E4E14" w14:textId="77777777" w:rsidR="003516A7" w:rsidRPr="003516A7" w:rsidRDefault="003516A7" w:rsidP="003516A7">
            <w:pPr>
              <w:spacing w:after="0" w:line="240" w:lineRule="auto"/>
              <w:ind w:left="0" w:right="0" w:firstLine="0"/>
              <w:jc w:val="center"/>
              <w:rPr>
                <w:szCs w:val="24"/>
              </w:rPr>
            </w:pPr>
            <w:proofErr w:type="gramStart"/>
            <w:r w:rsidRPr="003516A7">
              <w:rPr>
                <w:szCs w:val="24"/>
              </w:rPr>
              <w:t>por</w:t>
            </w:r>
            <w:proofErr w:type="gramEnd"/>
            <w:r w:rsidRPr="003516A7">
              <w:rPr>
                <w:szCs w:val="24"/>
              </w:rPr>
              <w:t xml:space="preserve"> 100g peso fresco</w:t>
            </w:r>
          </w:p>
        </w:tc>
      </w:tr>
      <w:tr w:rsidR="003516A7" w:rsidRPr="003516A7" w14:paraId="27FAA84F"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49857C44" w14:textId="77777777" w:rsidR="003516A7" w:rsidRPr="003516A7" w:rsidRDefault="003516A7" w:rsidP="003516A7">
            <w:pPr>
              <w:spacing w:after="0" w:line="240" w:lineRule="auto"/>
              <w:ind w:left="0" w:right="0" w:firstLine="0"/>
              <w:jc w:val="left"/>
              <w:rPr>
                <w:szCs w:val="24"/>
              </w:rPr>
            </w:pPr>
            <w:r w:rsidRPr="003516A7">
              <w:rPr>
                <w:szCs w:val="24"/>
              </w:rPr>
              <w:t>Ácido ascórbico</w:t>
            </w:r>
          </w:p>
        </w:tc>
        <w:tc>
          <w:tcPr>
            <w:tcW w:w="2500" w:type="dxa"/>
            <w:tcBorders>
              <w:top w:val="nil"/>
              <w:left w:val="nil"/>
              <w:bottom w:val="nil"/>
              <w:right w:val="single" w:sz="8" w:space="0" w:color="auto"/>
            </w:tcBorders>
            <w:shd w:val="clear" w:color="auto" w:fill="auto"/>
            <w:noWrap/>
            <w:hideMark/>
          </w:tcPr>
          <w:p w14:paraId="20FD1426" w14:textId="77777777" w:rsidR="003516A7" w:rsidRPr="003516A7" w:rsidRDefault="003516A7" w:rsidP="003516A7">
            <w:pPr>
              <w:spacing w:after="0" w:line="240" w:lineRule="auto"/>
              <w:ind w:left="0" w:right="0" w:firstLine="0"/>
              <w:jc w:val="center"/>
              <w:rPr>
                <w:szCs w:val="24"/>
              </w:rPr>
            </w:pPr>
            <w:r w:rsidRPr="003516A7">
              <w:rPr>
                <w:szCs w:val="24"/>
              </w:rPr>
              <w:t xml:space="preserve">180 - 300 </w:t>
            </w:r>
            <w:proofErr w:type="gramStart"/>
            <w:r w:rsidRPr="003516A7">
              <w:rPr>
                <w:szCs w:val="24"/>
              </w:rPr>
              <w:t>mg</w:t>
            </w:r>
            <w:proofErr w:type="gramEnd"/>
          </w:p>
        </w:tc>
      </w:tr>
      <w:tr w:rsidR="003516A7" w:rsidRPr="003516A7" w14:paraId="2DCAB75F"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617A282" w14:textId="77777777" w:rsidR="003516A7" w:rsidRPr="003516A7" w:rsidRDefault="003516A7" w:rsidP="003516A7">
            <w:pPr>
              <w:spacing w:after="0" w:line="240" w:lineRule="auto"/>
              <w:ind w:left="0" w:right="0" w:firstLine="0"/>
              <w:jc w:val="left"/>
              <w:rPr>
                <w:szCs w:val="24"/>
              </w:rPr>
            </w:pPr>
            <w:r w:rsidRPr="003516A7">
              <w:rPr>
                <w:szCs w:val="24"/>
              </w:rPr>
              <w:t>Carotenoides</w:t>
            </w:r>
          </w:p>
        </w:tc>
        <w:tc>
          <w:tcPr>
            <w:tcW w:w="2500" w:type="dxa"/>
            <w:tcBorders>
              <w:top w:val="nil"/>
              <w:left w:val="nil"/>
              <w:bottom w:val="nil"/>
              <w:right w:val="single" w:sz="8" w:space="0" w:color="auto"/>
            </w:tcBorders>
            <w:shd w:val="clear" w:color="auto" w:fill="auto"/>
            <w:noWrap/>
            <w:hideMark/>
          </w:tcPr>
          <w:p w14:paraId="63C23DD3" w14:textId="77777777" w:rsidR="003516A7" w:rsidRPr="003516A7" w:rsidRDefault="003516A7" w:rsidP="003516A7">
            <w:pPr>
              <w:spacing w:after="0" w:line="240" w:lineRule="auto"/>
              <w:ind w:left="0" w:right="0" w:firstLine="0"/>
              <w:jc w:val="center"/>
              <w:rPr>
                <w:szCs w:val="24"/>
              </w:rPr>
            </w:pPr>
            <w:r w:rsidRPr="003516A7">
              <w:rPr>
                <w:szCs w:val="24"/>
              </w:rPr>
              <w:t xml:space="preserve">0,29 - 2,37 </w:t>
            </w:r>
            <w:proofErr w:type="gramStart"/>
            <w:r w:rsidRPr="003516A7">
              <w:rPr>
                <w:szCs w:val="24"/>
              </w:rPr>
              <w:t>g</w:t>
            </w:r>
            <w:proofErr w:type="gramEnd"/>
          </w:p>
        </w:tc>
      </w:tr>
      <w:tr w:rsidR="003516A7" w:rsidRPr="003516A7" w14:paraId="4F324E45"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4E98AAE" w14:textId="77777777" w:rsidR="003516A7" w:rsidRPr="003516A7" w:rsidRDefault="003516A7" w:rsidP="003516A7">
            <w:pPr>
              <w:spacing w:after="0" w:line="240" w:lineRule="auto"/>
              <w:ind w:left="0" w:right="0" w:firstLine="0"/>
              <w:jc w:val="left"/>
              <w:rPr>
                <w:szCs w:val="24"/>
              </w:rPr>
            </w:pPr>
            <w:r w:rsidRPr="003516A7">
              <w:rPr>
                <w:szCs w:val="24"/>
              </w:rPr>
              <w:t xml:space="preserve">Vitamina </w:t>
            </w:r>
            <w:proofErr w:type="gramStart"/>
            <w:r w:rsidRPr="003516A7">
              <w:rPr>
                <w:szCs w:val="24"/>
              </w:rPr>
              <w:t>E</w:t>
            </w:r>
            <w:proofErr w:type="gramEnd"/>
          </w:p>
        </w:tc>
        <w:tc>
          <w:tcPr>
            <w:tcW w:w="2500" w:type="dxa"/>
            <w:tcBorders>
              <w:top w:val="nil"/>
              <w:left w:val="nil"/>
              <w:bottom w:val="nil"/>
              <w:right w:val="single" w:sz="8" w:space="0" w:color="auto"/>
            </w:tcBorders>
            <w:shd w:val="clear" w:color="auto" w:fill="auto"/>
            <w:noWrap/>
            <w:hideMark/>
          </w:tcPr>
          <w:p w14:paraId="1E7A26E1" w14:textId="77777777" w:rsidR="003516A7" w:rsidRPr="003516A7" w:rsidRDefault="003516A7" w:rsidP="003516A7">
            <w:pPr>
              <w:spacing w:after="0" w:line="240" w:lineRule="auto"/>
              <w:ind w:left="0" w:right="0" w:firstLine="0"/>
              <w:jc w:val="center"/>
              <w:rPr>
                <w:szCs w:val="24"/>
              </w:rPr>
            </w:pPr>
            <w:r w:rsidRPr="003516A7">
              <w:rPr>
                <w:szCs w:val="24"/>
              </w:rPr>
              <w:t>111 - 115 µg</w:t>
            </w:r>
          </w:p>
        </w:tc>
      </w:tr>
      <w:tr w:rsidR="003516A7" w:rsidRPr="003516A7" w14:paraId="79F45AA6"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7F18050" w14:textId="77777777" w:rsidR="003516A7" w:rsidRPr="003516A7" w:rsidRDefault="003516A7" w:rsidP="003516A7">
            <w:pPr>
              <w:spacing w:after="0" w:line="240" w:lineRule="auto"/>
              <w:ind w:left="0" w:right="0" w:firstLine="0"/>
              <w:jc w:val="left"/>
              <w:rPr>
                <w:szCs w:val="24"/>
              </w:rPr>
            </w:pPr>
            <w:r w:rsidRPr="003516A7">
              <w:rPr>
                <w:szCs w:val="24"/>
              </w:rPr>
              <w:t>Vitamina K1</w:t>
            </w:r>
          </w:p>
        </w:tc>
        <w:tc>
          <w:tcPr>
            <w:tcW w:w="2500" w:type="dxa"/>
            <w:tcBorders>
              <w:top w:val="nil"/>
              <w:left w:val="nil"/>
              <w:bottom w:val="nil"/>
              <w:right w:val="single" w:sz="8" w:space="0" w:color="auto"/>
            </w:tcBorders>
            <w:shd w:val="clear" w:color="auto" w:fill="auto"/>
            <w:noWrap/>
            <w:hideMark/>
          </w:tcPr>
          <w:p w14:paraId="66D44F55" w14:textId="77777777" w:rsidR="003516A7" w:rsidRPr="003516A7" w:rsidRDefault="003516A7" w:rsidP="003516A7">
            <w:pPr>
              <w:spacing w:after="0" w:line="240" w:lineRule="auto"/>
              <w:ind w:left="0" w:right="0" w:firstLine="0"/>
              <w:jc w:val="center"/>
              <w:rPr>
                <w:szCs w:val="24"/>
              </w:rPr>
            </w:pPr>
            <w:r w:rsidRPr="003516A7">
              <w:rPr>
                <w:szCs w:val="24"/>
              </w:rPr>
              <w:t>53 µg</w:t>
            </w:r>
          </w:p>
        </w:tc>
      </w:tr>
      <w:tr w:rsidR="003516A7" w:rsidRPr="003516A7" w14:paraId="5D913A05"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2E468C4A" w14:textId="77777777" w:rsidR="003516A7" w:rsidRPr="003516A7" w:rsidRDefault="003516A7" w:rsidP="003516A7">
            <w:pPr>
              <w:spacing w:after="0" w:line="240" w:lineRule="auto"/>
              <w:ind w:left="0" w:right="0" w:firstLine="0"/>
              <w:jc w:val="left"/>
              <w:rPr>
                <w:szCs w:val="24"/>
              </w:rPr>
            </w:pPr>
            <w:r w:rsidRPr="003516A7">
              <w:rPr>
                <w:szCs w:val="24"/>
              </w:rPr>
              <w:t>Kaempferol</w:t>
            </w:r>
          </w:p>
        </w:tc>
        <w:tc>
          <w:tcPr>
            <w:tcW w:w="2500" w:type="dxa"/>
            <w:tcBorders>
              <w:top w:val="nil"/>
              <w:left w:val="nil"/>
              <w:bottom w:val="nil"/>
              <w:right w:val="single" w:sz="8" w:space="0" w:color="auto"/>
            </w:tcBorders>
            <w:shd w:val="clear" w:color="auto" w:fill="auto"/>
            <w:noWrap/>
            <w:hideMark/>
          </w:tcPr>
          <w:p w14:paraId="6380C1A1" w14:textId="77777777" w:rsidR="003516A7" w:rsidRPr="003516A7" w:rsidRDefault="003516A7" w:rsidP="003516A7">
            <w:pPr>
              <w:spacing w:after="0" w:line="240" w:lineRule="auto"/>
              <w:ind w:left="0" w:right="0" w:firstLine="0"/>
              <w:jc w:val="center"/>
              <w:rPr>
                <w:szCs w:val="24"/>
              </w:rPr>
            </w:pPr>
            <w:r w:rsidRPr="003516A7">
              <w:rPr>
                <w:szCs w:val="24"/>
              </w:rPr>
              <w:t xml:space="preserve">0,11 - 0,38 </w:t>
            </w:r>
            <w:proofErr w:type="gramStart"/>
            <w:r w:rsidRPr="003516A7">
              <w:rPr>
                <w:szCs w:val="24"/>
              </w:rPr>
              <w:t>g</w:t>
            </w:r>
            <w:proofErr w:type="gramEnd"/>
          </w:p>
        </w:tc>
      </w:tr>
      <w:tr w:rsidR="003516A7" w:rsidRPr="003516A7" w14:paraId="257D5E2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276BA750" w14:textId="77777777" w:rsidR="003516A7" w:rsidRPr="003516A7" w:rsidRDefault="003516A7" w:rsidP="003516A7">
            <w:pPr>
              <w:spacing w:after="0" w:line="240" w:lineRule="auto"/>
              <w:ind w:left="0" w:right="0" w:firstLine="0"/>
              <w:jc w:val="left"/>
              <w:rPr>
                <w:szCs w:val="24"/>
              </w:rPr>
            </w:pPr>
            <w:r w:rsidRPr="003516A7">
              <w:rPr>
                <w:szCs w:val="24"/>
              </w:rPr>
              <w:t>Quercetina</w:t>
            </w:r>
          </w:p>
        </w:tc>
        <w:tc>
          <w:tcPr>
            <w:tcW w:w="2500" w:type="dxa"/>
            <w:tcBorders>
              <w:top w:val="nil"/>
              <w:left w:val="nil"/>
              <w:bottom w:val="nil"/>
              <w:right w:val="single" w:sz="8" w:space="0" w:color="auto"/>
            </w:tcBorders>
            <w:shd w:val="clear" w:color="auto" w:fill="auto"/>
            <w:noWrap/>
            <w:hideMark/>
          </w:tcPr>
          <w:p w14:paraId="67FE6534" w14:textId="77777777" w:rsidR="003516A7" w:rsidRPr="003516A7" w:rsidRDefault="003516A7" w:rsidP="003516A7">
            <w:pPr>
              <w:spacing w:after="0" w:line="240" w:lineRule="auto"/>
              <w:ind w:left="0" w:right="0" w:firstLine="0"/>
              <w:jc w:val="center"/>
              <w:rPr>
                <w:szCs w:val="24"/>
              </w:rPr>
            </w:pPr>
            <w:r w:rsidRPr="003516A7">
              <w:rPr>
                <w:szCs w:val="24"/>
              </w:rPr>
              <w:t xml:space="preserve">0,98 - 9 </w:t>
            </w:r>
            <w:proofErr w:type="gramStart"/>
            <w:r w:rsidRPr="003516A7">
              <w:rPr>
                <w:szCs w:val="24"/>
              </w:rPr>
              <w:t>g</w:t>
            </w:r>
            <w:proofErr w:type="gramEnd"/>
          </w:p>
        </w:tc>
      </w:tr>
      <w:tr w:rsidR="003516A7" w:rsidRPr="003516A7" w14:paraId="5B1E16F6"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5590AA1F" w14:textId="77777777" w:rsidR="003516A7" w:rsidRPr="003516A7" w:rsidRDefault="003516A7" w:rsidP="003516A7">
            <w:pPr>
              <w:spacing w:after="0" w:line="240" w:lineRule="auto"/>
              <w:ind w:left="0" w:right="0" w:firstLine="0"/>
              <w:jc w:val="left"/>
              <w:rPr>
                <w:szCs w:val="24"/>
              </w:rPr>
            </w:pPr>
            <w:r w:rsidRPr="003516A7">
              <w:rPr>
                <w:szCs w:val="24"/>
              </w:rPr>
              <w:t>Isorhamnetin</w:t>
            </w:r>
          </w:p>
        </w:tc>
        <w:tc>
          <w:tcPr>
            <w:tcW w:w="2500" w:type="dxa"/>
            <w:tcBorders>
              <w:top w:val="nil"/>
              <w:left w:val="nil"/>
              <w:bottom w:val="nil"/>
              <w:right w:val="single" w:sz="8" w:space="0" w:color="auto"/>
            </w:tcBorders>
            <w:shd w:val="clear" w:color="auto" w:fill="auto"/>
            <w:noWrap/>
            <w:hideMark/>
          </w:tcPr>
          <w:p w14:paraId="29DB3F74" w14:textId="77777777" w:rsidR="003516A7" w:rsidRPr="003516A7" w:rsidRDefault="003516A7" w:rsidP="003516A7">
            <w:pPr>
              <w:spacing w:after="0" w:line="240" w:lineRule="auto"/>
              <w:ind w:left="0" w:right="0" w:firstLine="0"/>
              <w:jc w:val="center"/>
              <w:rPr>
                <w:szCs w:val="24"/>
              </w:rPr>
            </w:pPr>
            <w:r w:rsidRPr="003516A7">
              <w:rPr>
                <w:szCs w:val="24"/>
              </w:rPr>
              <w:t xml:space="preserve">0,19 - 2,41 </w:t>
            </w:r>
            <w:proofErr w:type="gramStart"/>
            <w:r w:rsidRPr="003516A7">
              <w:rPr>
                <w:szCs w:val="24"/>
              </w:rPr>
              <w:t>g</w:t>
            </w:r>
            <w:proofErr w:type="gramEnd"/>
          </w:p>
        </w:tc>
      </w:tr>
      <w:tr w:rsidR="003516A7" w:rsidRPr="003516A7" w14:paraId="11F368CF" w14:textId="77777777" w:rsidTr="003516A7">
        <w:trPr>
          <w:trHeight w:val="300"/>
        </w:trPr>
        <w:tc>
          <w:tcPr>
            <w:tcW w:w="2280" w:type="dxa"/>
            <w:tcBorders>
              <w:top w:val="single" w:sz="4" w:space="0" w:color="auto"/>
              <w:left w:val="single" w:sz="8" w:space="0" w:color="auto"/>
              <w:bottom w:val="single" w:sz="4" w:space="0" w:color="auto"/>
              <w:right w:val="nil"/>
            </w:tcBorders>
            <w:shd w:val="clear" w:color="auto" w:fill="auto"/>
            <w:noWrap/>
            <w:vAlign w:val="bottom"/>
            <w:hideMark/>
          </w:tcPr>
          <w:p w14:paraId="2C63C2B2" w14:textId="77777777" w:rsidR="003516A7" w:rsidRPr="003516A7" w:rsidRDefault="003516A7" w:rsidP="003516A7">
            <w:pPr>
              <w:spacing w:after="0" w:line="240" w:lineRule="auto"/>
              <w:ind w:left="0" w:right="0" w:firstLine="0"/>
              <w:jc w:val="left"/>
              <w:rPr>
                <w:szCs w:val="24"/>
              </w:rPr>
            </w:pPr>
            <w:r w:rsidRPr="003516A7">
              <w:rPr>
                <w:szCs w:val="24"/>
              </w:rPr>
              <w:t>Aminoácidos</w:t>
            </w:r>
          </w:p>
        </w:tc>
        <w:tc>
          <w:tcPr>
            <w:tcW w:w="2500" w:type="dxa"/>
            <w:tcBorders>
              <w:top w:val="single" w:sz="4" w:space="0" w:color="auto"/>
              <w:left w:val="nil"/>
              <w:bottom w:val="single" w:sz="4" w:space="0" w:color="auto"/>
              <w:right w:val="single" w:sz="8" w:space="0" w:color="auto"/>
            </w:tcBorders>
            <w:shd w:val="clear" w:color="auto" w:fill="auto"/>
            <w:noWrap/>
            <w:hideMark/>
          </w:tcPr>
          <w:p w14:paraId="0A30ECA7" w14:textId="77777777" w:rsidR="003516A7" w:rsidRPr="003516A7" w:rsidRDefault="003516A7" w:rsidP="003516A7">
            <w:pPr>
              <w:spacing w:after="0" w:line="240" w:lineRule="auto"/>
              <w:ind w:left="0" w:right="0" w:firstLine="0"/>
              <w:jc w:val="center"/>
              <w:rPr>
                <w:szCs w:val="24"/>
              </w:rPr>
            </w:pPr>
            <w:proofErr w:type="gramStart"/>
            <w:r w:rsidRPr="003516A7">
              <w:rPr>
                <w:szCs w:val="24"/>
              </w:rPr>
              <w:t>conteúdo</w:t>
            </w:r>
            <w:proofErr w:type="gramEnd"/>
            <w:r w:rsidRPr="003516A7">
              <w:rPr>
                <w:szCs w:val="24"/>
              </w:rPr>
              <w:t xml:space="preserve"> máximo (mg/L)</w:t>
            </w:r>
          </w:p>
        </w:tc>
      </w:tr>
      <w:tr w:rsidR="003516A7" w:rsidRPr="003516A7" w14:paraId="35AAAE3B"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42089222" w14:textId="77777777" w:rsidR="003516A7" w:rsidRPr="003516A7" w:rsidRDefault="003516A7" w:rsidP="003516A7">
            <w:pPr>
              <w:spacing w:after="0" w:line="240" w:lineRule="auto"/>
              <w:ind w:left="0" w:right="0" w:firstLine="0"/>
              <w:jc w:val="left"/>
              <w:rPr>
                <w:szCs w:val="24"/>
              </w:rPr>
            </w:pPr>
            <w:r w:rsidRPr="003516A7">
              <w:rPr>
                <w:szCs w:val="24"/>
              </w:rPr>
              <w:t>Prolina</w:t>
            </w:r>
          </w:p>
        </w:tc>
        <w:tc>
          <w:tcPr>
            <w:tcW w:w="2500" w:type="dxa"/>
            <w:tcBorders>
              <w:top w:val="nil"/>
              <w:left w:val="nil"/>
              <w:bottom w:val="nil"/>
              <w:right w:val="single" w:sz="8" w:space="0" w:color="auto"/>
            </w:tcBorders>
            <w:shd w:val="clear" w:color="auto" w:fill="auto"/>
            <w:noWrap/>
            <w:vAlign w:val="bottom"/>
            <w:hideMark/>
          </w:tcPr>
          <w:p w14:paraId="5DDB0063" w14:textId="77777777" w:rsidR="003516A7" w:rsidRPr="003516A7" w:rsidRDefault="003516A7" w:rsidP="003516A7">
            <w:pPr>
              <w:spacing w:after="0" w:line="240" w:lineRule="auto"/>
              <w:ind w:left="0" w:right="0" w:firstLine="0"/>
              <w:jc w:val="center"/>
              <w:rPr>
                <w:szCs w:val="24"/>
              </w:rPr>
            </w:pPr>
            <w:r w:rsidRPr="003516A7">
              <w:rPr>
                <w:szCs w:val="24"/>
              </w:rPr>
              <w:t>1768,7</w:t>
            </w:r>
          </w:p>
        </w:tc>
      </w:tr>
      <w:tr w:rsidR="003516A7" w:rsidRPr="003516A7" w14:paraId="0563065F"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6FEAE639" w14:textId="77777777" w:rsidR="003516A7" w:rsidRPr="003516A7" w:rsidRDefault="003516A7" w:rsidP="003516A7">
            <w:pPr>
              <w:spacing w:after="0" w:line="240" w:lineRule="auto"/>
              <w:ind w:left="0" w:right="0" w:firstLine="0"/>
              <w:jc w:val="left"/>
              <w:rPr>
                <w:szCs w:val="24"/>
              </w:rPr>
            </w:pPr>
            <w:r w:rsidRPr="003516A7">
              <w:rPr>
                <w:szCs w:val="24"/>
              </w:rPr>
              <w:t>Glutamina</w:t>
            </w:r>
          </w:p>
        </w:tc>
        <w:tc>
          <w:tcPr>
            <w:tcW w:w="2500" w:type="dxa"/>
            <w:tcBorders>
              <w:top w:val="nil"/>
              <w:left w:val="nil"/>
              <w:bottom w:val="nil"/>
              <w:right w:val="single" w:sz="8" w:space="0" w:color="auto"/>
            </w:tcBorders>
            <w:shd w:val="clear" w:color="auto" w:fill="auto"/>
            <w:noWrap/>
            <w:vAlign w:val="bottom"/>
            <w:hideMark/>
          </w:tcPr>
          <w:p w14:paraId="218EFBEA" w14:textId="77777777" w:rsidR="003516A7" w:rsidRPr="003516A7" w:rsidRDefault="003516A7" w:rsidP="003516A7">
            <w:pPr>
              <w:spacing w:after="0" w:line="240" w:lineRule="auto"/>
              <w:ind w:left="0" w:right="0" w:firstLine="0"/>
              <w:jc w:val="center"/>
              <w:rPr>
                <w:szCs w:val="24"/>
              </w:rPr>
            </w:pPr>
            <w:r w:rsidRPr="003516A7">
              <w:rPr>
                <w:szCs w:val="24"/>
              </w:rPr>
              <w:t>574,6</w:t>
            </w:r>
          </w:p>
        </w:tc>
      </w:tr>
      <w:tr w:rsidR="003516A7" w:rsidRPr="003516A7" w14:paraId="7DA7D01E"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42F80D21" w14:textId="77777777" w:rsidR="003516A7" w:rsidRPr="003516A7" w:rsidRDefault="003516A7" w:rsidP="003516A7">
            <w:pPr>
              <w:spacing w:after="0" w:line="240" w:lineRule="auto"/>
              <w:ind w:left="0" w:right="0" w:firstLine="0"/>
              <w:jc w:val="left"/>
              <w:rPr>
                <w:szCs w:val="24"/>
              </w:rPr>
            </w:pPr>
            <w:r w:rsidRPr="003516A7">
              <w:rPr>
                <w:szCs w:val="24"/>
              </w:rPr>
              <w:t>Taurina</w:t>
            </w:r>
          </w:p>
        </w:tc>
        <w:tc>
          <w:tcPr>
            <w:tcW w:w="2500" w:type="dxa"/>
            <w:tcBorders>
              <w:top w:val="nil"/>
              <w:left w:val="nil"/>
              <w:bottom w:val="nil"/>
              <w:right w:val="single" w:sz="8" w:space="0" w:color="auto"/>
            </w:tcBorders>
            <w:shd w:val="clear" w:color="auto" w:fill="auto"/>
            <w:noWrap/>
            <w:vAlign w:val="bottom"/>
            <w:hideMark/>
          </w:tcPr>
          <w:p w14:paraId="411C81AE" w14:textId="77777777" w:rsidR="003516A7" w:rsidRPr="003516A7" w:rsidRDefault="003516A7" w:rsidP="003516A7">
            <w:pPr>
              <w:spacing w:after="0" w:line="240" w:lineRule="auto"/>
              <w:ind w:left="0" w:right="0" w:firstLine="0"/>
              <w:jc w:val="center"/>
              <w:rPr>
                <w:szCs w:val="24"/>
              </w:rPr>
            </w:pPr>
            <w:r w:rsidRPr="003516A7">
              <w:rPr>
                <w:szCs w:val="24"/>
              </w:rPr>
              <w:t>572,1</w:t>
            </w:r>
          </w:p>
        </w:tc>
      </w:tr>
      <w:tr w:rsidR="003516A7" w:rsidRPr="003516A7" w14:paraId="102D9627"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29E7FBEC" w14:textId="77777777" w:rsidR="003516A7" w:rsidRPr="003516A7" w:rsidRDefault="003516A7" w:rsidP="003516A7">
            <w:pPr>
              <w:spacing w:after="0" w:line="240" w:lineRule="auto"/>
              <w:ind w:left="0" w:right="0" w:firstLine="0"/>
              <w:jc w:val="left"/>
              <w:rPr>
                <w:szCs w:val="24"/>
              </w:rPr>
            </w:pPr>
            <w:r w:rsidRPr="003516A7">
              <w:rPr>
                <w:szCs w:val="24"/>
              </w:rPr>
              <w:t>Serina</w:t>
            </w:r>
          </w:p>
        </w:tc>
        <w:tc>
          <w:tcPr>
            <w:tcW w:w="2500" w:type="dxa"/>
            <w:tcBorders>
              <w:top w:val="nil"/>
              <w:left w:val="nil"/>
              <w:bottom w:val="nil"/>
              <w:right w:val="single" w:sz="8" w:space="0" w:color="auto"/>
            </w:tcBorders>
            <w:shd w:val="clear" w:color="auto" w:fill="auto"/>
            <w:noWrap/>
            <w:vAlign w:val="bottom"/>
            <w:hideMark/>
          </w:tcPr>
          <w:p w14:paraId="43B84B4D" w14:textId="77777777" w:rsidR="003516A7" w:rsidRPr="003516A7" w:rsidRDefault="003516A7" w:rsidP="003516A7">
            <w:pPr>
              <w:spacing w:after="0" w:line="240" w:lineRule="auto"/>
              <w:ind w:left="0" w:right="0" w:firstLine="0"/>
              <w:jc w:val="center"/>
              <w:rPr>
                <w:szCs w:val="24"/>
              </w:rPr>
            </w:pPr>
            <w:r w:rsidRPr="003516A7">
              <w:rPr>
                <w:szCs w:val="24"/>
              </w:rPr>
              <w:t>217,5</w:t>
            </w:r>
          </w:p>
        </w:tc>
      </w:tr>
      <w:tr w:rsidR="003516A7" w:rsidRPr="003516A7" w14:paraId="1252F766"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3FE60D17" w14:textId="77777777" w:rsidR="003516A7" w:rsidRPr="003516A7" w:rsidRDefault="003516A7" w:rsidP="003516A7">
            <w:pPr>
              <w:spacing w:after="0" w:line="240" w:lineRule="auto"/>
              <w:ind w:left="0" w:right="0" w:firstLine="0"/>
              <w:jc w:val="left"/>
              <w:rPr>
                <w:szCs w:val="24"/>
              </w:rPr>
            </w:pPr>
            <w:r w:rsidRPr="003516A7">
              <w:rPr>
                <w:szCs w:val="24"/>
              </w:rPr>
              <w:t>Alanina</w:t>
            </w:r>
          </w:p>
        </w:tc>
        <w:tc>
          <w:tcPr>
            <w:tcW w:w="2500" w:type="dxa"/>
            <w:tcBorders>
              <w:top w:val="nil"/>
              <w:left w:val="nil"/>
              <w:bottom w:val="nil"/>
              <w:right w:val="single" w:sz="8" w:space="0" w:color="auto"/>
            </w:tcBorders>
            <w:shd w:val="clear" w:color="auto" w:fill="auto"/>
            <w:noWrap/>
            <w:vAlign w:val="bottom"/>
            <w:hideMark/>
          </w:tcPr>
          <w:p w14:paraId="77910AA9" w14:textId="77777777" w:rsidR="003516A7" w:rsidRPr="003516A7" w:rsidRDefault="003516A7" w:rsidP="003516A7">
            <w:pPr>
              <w:spacing w:after="0" w:line="240" w:lineRule="auto"/>
              <w:ind w:left="0" w:right="0" w:firstLine="0"/>
              <w:jc w:val="center"/>
              <w:rPr>
                <w:szCs w:val="24"/>
              </w:rPr>
            </w:pPr>
            <w:r w:rsidRPr="003516A7">
              <w:rPr>
                <w:szCs w:val="24"/>
              </w:rPr>
              <w:t>96,6</w:t>
            </w:r>
          </w:p>
        </w:tc>
      </w:tr>
      <w:tr w:rsidR="003516A7" w:rsidRPr="003516A7" w14:paraId="58347E58"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13E9BD3A" w14:textId="77777777" w:rsidR="003516A7" w:rsidRPr="003516A7" w:rsidRDefault="003516A7" w:rsidP="003516A7">
            <w:pPr>
              <w:spacing w:after="0" w:line="240" w:lineRule="auto"/>
              <w:ind w:left="0" w:right="0" w:firstLine="0"/>
              <w:jc w:val="left"/>
              <w:rPr>
                <w:szCs w:val="24"/>
              </w:rPr>
            </w:pPr>
            <w:r w:rsidRPr="003516A7">
              <w:rPr>
                <w:szCs w:val="24"/>
              </w:rPr>
              <w:t>Ácido glutâmico</w:t>
            </w:r>
          </w:p>
        </w:tc>
        <w:tc>
          <w:tcPr>
            <w:tcW w:w="2500" w:type="dxa"/>
            <w:tcBorders>
              <w:top w:val="nil"/>
              <w:left w:val="nil"/>
              <w:bottom w:val="nil"/>
              <w:right w:val="single" w:sz="8" w:space="0" w:color="auto"/>
            </w:tcBorders>
            <w:shd w:val="clear" w:color="auto" w:fill="auto"/>
            <w:noWrap/>
            <w:vAlign w:val="bottom"/>
            <w:hideMark/>
          </w:tcPr>
          <w:p w14:paraId="090D2441" w14:textId="77777777" w:rsidR="003516A7" w:rsidRPr="003516A7" w:rsidRDefault="003516A7" w:rsidP="003516A7">
            <w:pPr>
              <w:spacing w:after="0" w:line="240" w:lineRule="auto"/>
              <w:ind w:left="0" w:right="0" w:firstLine="0"/>
              <w:jc w:val="center"/>
              <w:rPr>
                <w:szCs w:val="24"/>
              </w:rPr>
            </w:pPr>
            <w:r w:rsidRPr="003516A7">
              <w:rPr>
                <w:szCs w:val="24"/>
              </w:rPr>
              <w:t>83</w:t>
            </w:r>
          </w:p>
        </w:tc>
      </w:tr>
      <w:tr w:rsidR="003516A7" w:rsidRPr="003516A7" w14:paraId="344E9AE0" w14:textId="77777777" w:rsidTr="003516A7">
        <w:trPr>
          <w:trHeight w:val="300"/>
        </w:trPr>
        <w:tc>
          <w:tcPr>
            <w:tcW w:w="2280" w:type="dxa"/>
            <w:tcBorders>
              <w:top w:val="nil"/>
              <w:left w:val="single" w:sz="8" w:space="0" w:color="auto"/>
              <w:bottom w:val="nil"/>
              <w:right w:val="nil"/>
            </w:tcBorders>
            <w:shd w:val="clear" w:color="auto" w:fill="auto"/>
            <w:noWrap/>
            <w:vAlign w:val="bottom"/>
            <w:hideMark/>
          </w:tcPr>
          <w:p w14:paraId="70DFE0AA" w14:textId="77777777" w:rsidR="003516A7" w:rsidRPr="003516A7" w:rsidRDefault="003516A7" w:rsidP="003516A7">
            <w:pPr>
              <w:spacing w:after="0" w:line="240" w:lineRule="auto"/>
              <w:ind w:left="0" w:right="0" w:firstLine="0"/>
              <w:jc w:val="left"/>
              <w:rPr>
                <w:szCs w:val="24"/>
              </w:rPr>
            </w:pPr>
            <w:r w:rsidRPr="003516A7">
              <w:rPr>
                <w:szCs w:val="24"/>
              </w:rPr>
              <w:t>Metionina</w:t>
            </w:r>
          </w:p>
        </w:tc>
        <w:tc>
          <w:tcPr>
            <w:tcW w:w="2500" w:type="dxa"/>
            <w:tcBorders>
              <w:top w:val="nil"/>
              <w:left w:val="nil"/>
              <w:bottom w:val="nil"/>
              <w:right w:val="single" w:sz="8" w:space="0" w:color="auto"/>
            </w:tcBorders>
            <w:shd w:val="clear" w:color="auto" w:fill="auto"/>
            <w:noWrap/>
            <w:vAlign w:val="bottom"/>
            <w:hideMark/>
          </w:tcPr>
          <w:p w14:paraId="57BACCC6" w14:textId="77777777" w:rsidR="003516A7" w:rsidRPr="003516A7" w:rsidRDefault="003516A7" w:rsidP="003516A7">
            <w:pPr>
              <w:spacing w:after="0" w:line="240" w:lineRule="auto"/>
              <w:ind w:left="0" w:right="0" w:firstLine="0"/>
              <w:jc w:val="center"/>
              <w:rPr>
                <w:szCs w:val="24"/>
              </w:rPr>
            </w:pPr>
            <w:r w:rsidRPr="003516A7">
              <w:rPr>
                <w:szCs w:val="24"/>
              </w:rPr>
              <w:t>76,9</w:t>
            </w:r>
          </w:p>
        </w:tc>
      </w:tr>
      <w:tr w:rsidR="003516A7" w:rsidRPr="003516A7" w14:paraId="2C0A79CB" w14:textId="77777777" w:rsidTr="003516A7">
        <w:trPr>
          <w:trHeight w:val="315"/>
        </w:trPr>
        <w:tc>
          <w:tcPr>
            <w:tcW w:w="2280" w:type="dxa"/>
            <w:tcBorders>
              <w:top w:val="nil"/>
              <w:left w:val="single" w:sz="8" w:space="0" w:color="auto"/>
              <w:bottom w:val="single" w:sz="8" w:space="0" w:color="auto"/>
              <w:right w:val="nil"/>
            </w:tcBorders>
            <w:shd w:val="clear" w:color="auto" w:fill="auto"/>
            <w:noWrap/>
            <w:vAlign w:val="bottom"/>
            <w:hideMark/>
          </w:tcPr>
          <w:p w14:paraId="46986023" w14:textId="77777777" w:rsidR="003516A7" w:rsidRPr="003516A7" w:rsidRDefault="003516A7" w:rsidP="003516A7">
            <w:pPr>
              <w:spacing w:after="0" w:line="240" w:lineRule="auto"/>
              <w:ind w:left="0" w:right="0" w:firstLine="0"/>
              <w:jc w:val="left"/>
              <w:rPr>
                <w:szCs w:val="24"/>
              </w:rPr>
            </w:pPr>
            <w:r w:rsidRPr="003516A7">
              <w:rPr>
                <w:szCs w:val="24"/>
              </w:rPr>
              <w:t>Lisina</w:t>
            </w:r>
          </w:p>
        </w:tc>
        <w:tc>
          <w:tcPr>
            <w:tcW w:w="2500" w:type="dxa"/>
            <w:tcBorders>
              <w:top w:val="nil"/>
              <w:left w:val="nil"/>
              <w:bottom w:val="single" w:sz="8" w:space="0" w:color="auto"/>
              <w:right w:val="single" w:sz="8" w:space="0" w:color="auto"/>
            </w:tcBorders>
            <w:shd w:val="clear" w:color="auto" w:fill="auto"/>
            <w:noWrap/>
            <w:vAlign w:val="bottom"/>
            <w:hideMark/>
          </w:tcPr>
          <w:p w14:paraId="5EACF39B" w14:textId="77777777" w:rsidR="003516A7" w:rsidRPr="003516A7" w:rsidRDefault="003516A7" w:rsidP="003516A7">
            <w:pPr>
              <w:spacing w:after="0" w:line="240" w:lineRule="auto"/>
              <w:ind w:left="0" w:right="0" w:firstLine="0"/>
              <w:jc w:val="center"/>
              <w:rPr>
                <w:szCs w:val="24"/>
              </w:rPr>
            </w:pPr>
            <w:r w:rsidRPr="003516A7">
              <w:rPr>
                <w:szCs w:val="24"/>
              </w:rPr>
              <w:t>53,3</w:t>
            </w:r>
          </w:p>
        </w:tc>
      </w:tr>
    </w:tbl>
    <w:p w14:paraId="28EF3D95" w14:textId="2778000A" w:rsidR="003516A7" w:rsidRDefault="003516A7" w:rsidP="003516A7">
      <w:pPr>
        <w:tabs>
          <w:tab w:val="left" w:pos="5814"/>
        </w:tabs>
        <w:spacing w:after="160" w:line="360" w:lineRule="auto"/>
        <w:ind w:left="0" w:right="0" w:firstLine="0"/>
        <w:rPr>
          <w:bCs/>
          <w:color w:val="auto"/>
          <w:szCs w:val="24"/>
          <w:lang w:eastAsia="pt-BR"/>
        </w:rPr>
      </w:pPr>
    </w:p>
    <w:p w14:paraId="7D1A58FD" w14:textId="1E1150AC"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207" w:name="_Toc462576814"/>
      <w:bookmarkStart w:id="208" w:name="_Toc462576851"/>
      <w:bookmarkStart w:id="209" w:name="_Toc462577963"/>
      <w:bookmarkStart w:id="210" w:name="_Toc462578597"/>
      <w:bookmarkStart w:id="211" w:name="_Toc462579060"/>
      <w:bookmarkStart w:id="212" w:name="_Toc462673447"/>
      <w:bookmarkStart w:id="213" w:name="_Toc462709771"/>
      <w:bookmarkStart w:id="214" w:name="_Toc462887960"/>
      <w:bookmarkStart w:id="215" w:name="_Toc462888054"/>
      <w:bookmarkStart w:id="216" w:name="_Toc462891335"/>
      <w:bookmarkStart w:id="217" w:name="_Toc478510889"/>
      <w:bookmarkStart w:id="218" w:name="_Toc479154486"/>
      <w:bookmarkStart w:id="219" w:name="_Toc479154833"/>
      <w:r w:rsidRPr="003516A7">
        <w:rPr>
          <w:bCs/>
          <w:color w:val="auto"/>
          <w:szCs w:val="24"/>
          <w:lang w:eastAsia="pt-BR"/>
        </w:rPr>
        <w:t xml:space="preserve">Uma forma de tirar partido destes componentes dos figos da índia </w:t>
      </w:r>
      <w:r w:rsidR="00963950" w:rsidRPr="003516A7">
        <w:rPr>
          <w:bCs/>
          <w:color w:val="auto"/>
          <w:szCs w:val="24"/>
          <w:lang w:eastAsia="pt-BR"/>
        </w:rPr>
        <w:t>pode</w:t>
      </w:r>
      <w:r w:rsidR="00963950">
        <w:rPr>
          <w:bCs/>
          <w:color w:val="auto"/>
          <w:szCs w:val="24"/>
          <w:lang w:eastAsia="pt-BR"/>
        </w:rPr>
        <w:t>rá</w:t>
      </w:r>
      <w:r w:rsidR="009D6134">
        <w:rPr>
          <w:bCs/>
          <w:color w:val="auto"/>
          <w:szCs w:val="24"/>
          <w:lang w:eastAsia="pt-BR"/>
        </w:rPr>
        <w:t xml:space="preserve"> </w:t>
      </w:r>
      <w:r w:rsidRPr="003516A7">
        <w:rPr>
          <w:bCs/>
          <w:color w:val="auto"/>
          <w:szCs w:val="24"/>
          <w:lang w:eastAsia="pt-BR"/>
        </w:rPr>
        <w:t xml:space="preserve">ser através de uma nova área da engenharia que visa a integração e interligação de sistemas biológicos e tecnológicos, </w:t>
      </w:r>
      <w:r w:rsidR="00963950">
        <w:rPr>
          <w:bCs/>
          <w:color w:val="auto"/>
          <w:szCs w:val="24"/>
          <w:lang w:eastAsia="pt-BR"/>
        </w:rPr>
        <w:t>a</w:t>
      </w:r>
      <w:r w:rsidRPr="003516A7">
        <w:rPr>
          <w:bCs/>
          <w:color w:val="auto"/>
          <w:szCs w:val="24"/>
          <w:lang w:eastAsia="pt-BR"/>
        </w:rPr>
        <w:t xml:space="preserve"> engenharia biológica.</w:t>
      </w:r>
      <w:bookmarkEnd w:id="207"/>
      <w:bookmarkEnd w:id="208"/>
      <w:bookmarkEnd w:id="209"/>
      <w:bookmarkEnd w:id="210"/>
      <w:bookmarkEnd w:id="211"/>
      <w:bookmarkEnd w:id="212"/>
      <w:bookmarkEnd w:id="213"/>
      <w:bookmarkEnd w:id="214"/>
      <w:bookmarkEnd w:id="215"/>
      <w:bookmarkEnd w:id="216"/>
      <w:bookmarkEnd w:id="217"/>
      <w:bookmarkEnd w:id="218"/>
      <w:bookmarkEnd w:id="219"/>
    </w:p>
    <w:p w14:paraId="76D4D645" w14:textId="64442F97" w:rsidR="003516A7" w:rsidRPr="003516A7" w:rsidRDefault="003516A7" w:rsidP="003516A7">
      <w:pPr>
        <w:spacing w:before="100" w:beforeAutospacing="1" w:after="100" w:afterAutospacing="1" w:line="360" w:lineRule="auto"/>
        <w:ind w:left="0" w:right="0" w:firstLine="0"/>
        <w:outlineLvl w:val="1"/>
        <w:rPr>
          <w:bCs/>
          <w:color w:val="auto"/>
          <w:szCs w:val="24"/>
          <w:lang w:eastAsia="pt-BR"/>
        </w:rPr>
      </w:pPr>
      <w:bookmarkStart w:id="220" w:name="_Toc462576815"/>
      <w:bookmarkStart w:id="221" w:name="_Toc462576852"/>
      <w:bookmarkStart w:id="222" w:name="_Toc462577964"/>
      <w:bookmarkStart w:id="223" w:name="_Toc462578598"/>
      <w:bookmarkStart w:id="224" w:name="_Toc462579061"/>
      <w:bookmarkStart w:id="225" w:name="_Toc462673448"/>
      <w:bookmarkStart w:id="226" w:name="_Toc462709772"/>
      <w:bookmarkStart w:id="227" w:name="_Toc462887961"/>
      <w:bookmarkStart w:id="228" w:name="_Toc462888055"/>
      <w:bookmarkStart w:id="229" w:name="_Toc462891336"/>
      <w:bookmarkStart w:id="230" w:name="_Toc478510890"/>
      <w:bookmarkStart w:id="231" w:name="_Toc479154487"/>
      <w:bookmarkStart w:id="232" w:name="_Toc479154834"/>
      <w:r w:rsidRPr="003516A7">
        <w:rPr>
          <w:bCs/>
          <w:color w:val="auto"/>
          <w:szCs w:val="24"/>
          <w:lang w:eastAsia="pt-BR"/>
        </w:rPr>
        <w:lastRenderedPageBreak/>
        <w:t>Esta p</w:t>
      </w:r>
      <w:r w:rsidR="00931C90">
        <w:rPr>
          <w:bCs/>
          <w:color w:val="auto"/>
          <w:szCs w:val="24"/>
          <w:lang w:eastAsia="pt-BR"/>
        </w:rPr>
        <w:t>õe</w:t>
      </w:r>
      <w:r w:rsidRPr="003516A7">
        <w:rPr>
          <w:bCs/>
          <w:color w:val="auto"/>
          <w:szCs w:val="24"/>
          <w:lang w:eastAsia="pt-BR"/>
        </w:rPr>
        <w:t xml:space="preserve"> em prática conhecimentos biológicos e de engenharia de forma a desenvolver sistemas, metodologias e processos dos componentes biológicos para aplicações </w:t>
      </w:r>
      <w:r w:rsidR="005E1F34" w:rsidRPr="003516A7">
        <w:rPr>
          <w:bCs/>
          <w:color w:val="auto"/>
          <w:szCs w:val="24"/>
          <w:lang w:eastAsia="pt-BR"/>
        </w:rPr>
        <w:t>específicas</w:t>
      </w:r>
      <w:r w:rsidRPr="003516A7">
        <w:rPr>
          <w:bCs/>
          <w:color w:val="auto"/>
          <w:szCs w:val="24"/>
          <w:lang w:eastAsia="pt-BR"/>
        </w:rPr>
        <w:t xml:space="preserve"> que tem como fim resolver necessidades da sociedade. Tem um forte domínio nas componentes de </w:t>
      </w:r>
      <w:r w:rsidR="005E1F34" w:rsidRPr="003516A7">
        <w:rPr>
          <w:bCs/>
          <w:color w:val="auto"/>
          <w:szCs w:val="24"/>
          <w:lang w:eastAsia="pt-BR"/>
        </w:rPr>
        <w:t>análises</w:t>
      </w:r>
      <w:r w:rsidRPr="003516A7">
        <w:rPr>
          <w:bCs/>
          <w:color w:val="auto"/>
          <w:szCs w:val="24"/>
          <w:lang w:eastAsia="pt-BR"/>
        </w:rPr>
        <w:t xml:space="preserve"> químicas, biológica, bioquímica e microbiológica em vastas áreas, relativas a processos e produção, de gestão e intervenção social, nos setores tecnológicos, produtivos, ambiental e saúde </w:t>
      </w:r>
      <w:r w:rsidRPr="003516A7">
        <w:rPr>
          <w:bCs/>
          <w:color w:val="auto"/>
          <w:szCs w:val="24"/>
          <w:lang w:eastAsia="pt-BR"/>
        </w:rPr>
        <w:fldChar w:fldCharType="begin" w:fldLock="1"/>
      </w:r>
      <w:r w:rsidRPr="003516A7">
        <w:rPr>
          <w:bCs/>
          <w:color w:val="auto"/>
          <w:szCs w:val="24"/>
          <w:lang w:eastAsia="pt-BR"/>
        </w:rPr>
        <w:instrText>ADDIN CSL_CITATION { "citationItems" : [ { "id" : "ITEM-1", "itemData" : { "URL" : "http://www.ualg.pt/pt/curso/1458", "accessed" : { "date-parts" : [ [ "2016", "8", "8" ] ] }, "container-title" : "Ualg", "id" : "ITEM-1", "issued" : { "date-parts" : [ [ "2013" ] ] }, "title" : "Engenharia biol\u00f3gica", "type" : "webpage" }, "uris" : [ "http://www.mendeley.com/documents/?uuid=00fcf9a3-7230-4672-9463-936ecaf4a65f" ] } ], "mendeley" : { "formattedCitation" : "(\u201cEngenharia biol\u00f3gica,\u201d 2013)", "plainTextFormattedCitation" : "(\u201cEngenharia biol\u00f3gica,\u201d 2013)", "previouslyFormattedCitation" : "(\u201cEngenharia biol\u00f3gica,\u201d 2013)" }, "properties" : { "noteIndex" : 0 }, "schema" : "https://github.com/citation-style-language/schema/raw/master/csl-citation.json" }</w:instrText>
      </w:r>
      <w:r w:rsidRPr="003516A7">
        <w:rPr>
          <w:bCs/>
          <w:color w:val="auto"/>
          <w:szCs w:val="24"/>
          <w:lang w:eastAsia="pt-BR"/>
        </w:rPr>
        <w:fldChar w:fldCharType="separate"/>
      </w:r>
      <w:r w:rsidRPr="003516A7">
        <w:rPr>
          <w:bCs/>
          <w:noProof/>
          <w:color w:val="auto"/>
          <w:szCs w:val="24"/>
          <w:lang w:eastAsia="pt-BR"/>
        </w:rPr>
        <w:t>(“Engenharia biológica,” 2013)</w:t>
      </w:r>
      <w:bookmarkEnd w:id="220"/>
      <w:bookmarkEnd w:id="221"/>
      <w:bookmarkEnd w:id="222"/>
      <w:bookmarkEnd w:id="223"/>
      <w:bookmarkEnd w:id="224"/>
      <w:r w:rsidRPr="003516A7">
        <w:rPr>
          <w:bCs/>
          <w:color w:val="auto"/>
          <w:szCs w:val="24"/>
          <w:lang w:eastAsia="pt-BR"/>
        </w:rPr>
        <w:fldChar w:fldCharType="end"/>
      </w:r>
      <w:r w:rsidRPr="003516A7">
        <w:rPr>
          <w:bCs/>
          <w:color w:val="auto"/>
          <w:szCs w:val="24"/>
          <w:lang w:eastAsia="pt-BR"/>
        </w:rPr>
        <w:t>.</w:t>
      </w:r>
      <w:bookmarkEnd w:id="225"/>
      <w:bookmarkEnd w:id="226"/>
      <w:bookmarkEnd w:id="227"/>
      <w:bookmarkEnd w:id="228"/>
      <w:bookmarkEnd w:id="229"/>
      <w:bookmarkEnd w:id="230"/>
      <w:bookmarkEnd w:id="231"/>
      <w:bookmarkEnd w:id="232"/>
    </w:p>
    <w:p w14:paraId="312CBB32" w14:textId="5C3CC3A3" w:rsidR="008474A4" w:rsidRDefault="003516A7" w:rsidP="003516A7">
      <w:pPr>
        <w:spacing w:before="100" w:beforeAutospacing="1" w:after="100" w:afterAutospacing="1" w:line="360" w:lineRule="auto"/>
        <w:ind w:left="0" w:right="0" w:firstLine="0"/>
        <w:outlineLvl w:val="1"/>
        <w:rPr>
          <w:bCs/>
          <w:color w:val="auto"/>
          <w:szCs w:val="24"/>
          <w:lang w:eastAsia="pt-BR"/>
        </w:rPr>
      </w:pPr>
      <w:bookmarkStart w:id="233" w:name="_Toc478510891"/>
      <w:bookmarkStart w:id="234" w:name="_Toc462673449"/>
      <w:bookmarkStart w:id="235" w:name="_Toc462709773"/>
      <w:bookmarkStart w:id="236" w:name="_Toc462887962"/>
      <w:bookmarkStart w:id="237" w:name="_Toc462888056"/>
      <w:bookmarkStart w:id="238" w:name="_Toc462891337"/>
      <w:bookmarkStart w:id="239" w:name="_Toc479154488"/>
      <w:bookmarkStart w:id="240" w:name="_Toc479154835"/>
      <w:r w:rsidRPr="003516A7">
        <w:rPr>
          <w:bCs/>
          <w:color w:val="auto"/>
          <w:szCs w:val="24"/>
          <w:lang w:eastAsia="pt-BR"/>
        </w:rPr>
        <w:t xml:space="preserve">Em foco neste trabalho está </w:t>
      </w:r>
      <w:r w:rsidR="00C76834">
        <w:rPr>
          <w:bCs/>
          <w:color w:val="auto"/>
          <w:szCs w:val="24"/>
          <w:lang w:eastAsia="pt-BR"/>
        </w:rPr>
        <w:t>a caracterização</w:t>
      </w:r>
      <w:r w:rsidR="0042246F">
        <w:rPr>
          <w:bCs/>
          <w:color w:val="auto"/>
          <w:szCs w:val="24"/>
          <w:lang w:eastAsia="pt-BR"/>
        </w:rPr>
        <w:t xml:space="preserve"> </w:t>
      </w:r>
      <w:r w:rsidR="009D6134">
        <w:rPr>
          <w:bCs/>
          <w:color w:val="auto"/>
          <w:szCs w:val="24"/>
          <w:lang w:eastAsia="pt-BR"/>
        </w:rPr>
        <w:t>físico-química</w:t>
      </w:r>
      <w:r w:rsidR="00C76834">
        <w:rPr>
          <w:bCs/>
          <w:color w:val="auto"/>
          <w:szCs w:val="24"/>
          <w:lang w:eastAsia="pt-BR"/>
        </w:rPr>
        <w:t xml:space="preserve"> dos frutos de 4 cultivares de figueira-da-</w:t>
      </w:r>
      <w:r w:rsidR="0042246F">
        <w:rPr>
          <w:bCs/>
          <w:color w:val="auto"/>
          <w:szCs w:val="24"/>
          <w:lang w:eastAsia="pt-BR"/>
        </w:rPr>
        <w:t>índia</w:t>
      </w:r>
      <w:r w:rsidR="00A75CFD">
        <w:rPr>
          <w:bCs/>
          <w:color w:val="auto"/>
          <w:szCs w:val="24"/>
          <w:lang w:eastAsia="pt-BR"/>
        </w:rPr>
        <w:t xml:space="preserve"> (´laranja’, ‘verde’, ‘Gialla’ e ‘Rosso’</w:t>
      </w:r>
      <w:r w:rsidR="0042246F">
        <w:rPr>
          <w:bCs/>
          <w:color w:val="auto"/>
          <w:szCs w:val="24"/>
          <w:lang w:eastAsia="pt-BR"/>
        </w:rPr>
        <w:t xml:space="preserve">), dando particular </w:t>
      </w:r>
      <w:r w:rsidR="0033358E">
        <w:rPr>
          <w:bCs/>
          <w:color w:val="auto"/>
          <w:szCs w:val="24"/>
          <w:lang w:eastAsia="pt-BR"/>
        </w:rPr>
        <w:t>relevância à</w:t>
      </w:r>
      <w:r w:rsidRPr="003516A7">
        <w:rPr>
          <w:bCs/>
          <w:color w:val="auto"/>
          <w:szCs w:val="24"/>
          <w:lang w:eastAsia="pt-BR"/>
        </w:rPr>
        <w:t xml:space="preserve"> avaliação das propriedades antioxidantes e</w:t>
      </w:r>
      <w:r w:rsidR="0042246F">
        <w:rPr>
          <w:bCs/>
          <w:color w:val="auto"/>
          <w:szCs w:val="24"/>
          <w:lang w:eastAsia="pt-BR"/>
        </w:rPr>
        <w:t xml:space="preserve"> à</w:t>
      </w:r>
      <w:r w:rsidRPr="003516A7">
        <w:rPr>
          <w:bCs/>
          <w:color w:val="auto"/>
          <w:szCs w:val="24"/>
          <w:lang w:eastAsia="pt-BR"/>
        </w:rPr>
        <w:t xml:space="preserve"> quantificação</w:t>
      </w:r>
      <w:r w:rsidR="00BD60DB">
        <w:rPr>
          <w:bCs/>
          <w:color w:val="auto"/>
          <w:szCs w:val="24"/>
          <w:lang w:eastAsia="pt-BR"/>
        </w:rPr>
        <w:t xml:space="preserve"> de</w:t>
      </w:r>
      <w:r w:rsidRPr="003516A7">
        <w:rPr>
          <w:bCs/>
          <w:color w:val="auto"/>
          <w:szCs w:val="24"/>
          <w:lang w:eastAsia="pt-BR"/>
        </w:rPr>
        <w:t xml:space="preserve"> vários compostos bioativos (compostos fenólicos, betalaínas e ácidos orgânicos) presentes na polpa e na casca dos</w:t>
      </w:r>
      <w:r w:rsidR="0042246F">
        <w:rPr>
          <w:bCs/>
          <w:color w:val="auto"/>
          <w:szCs w:val="24"/>
          <w:lang w:eastAsia="pt-BR"/>
        </w:rPr>
        <w:t xml:space="preserve"> frutos.</w:t>
      </w:r>
      <w:bookmarkEnd w:id="233"/>
      <w:bookmarkEnd w:id="234"/>
      <w:bookmarkEnd w:id="235"/>
      <w:bookmarkEnd w:id="236"/>
      <w:bookmarkEnd w:id="237"/>
      <w:bookmarkEnd w:id="238"/>
      <w:bookmarkEnd w:id="239"/>
      <w:bookmarkEnd w:id="240"/>
    </w:p>
    <w:p w14:paraId="222A1943" w14:textId="74252969"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50B2A22C" w14:textId="6F8763F8"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381301FA" w14:textId="57F8CF60"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7F388178" w14:textId="379056CD"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375EBF87" w14:textId="54A4B9EE"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4E7DB973" w14:textId="4C376B67"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05201F1F" w14:textId="5E9B0EDA"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7D95B8A1" w14:textId="584230E6"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7E5AD612" w14:textId="0174FE8B"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0055D060" w14:textId="2B0F714F" w:rsidR="008474A4" w:rsidRDefault="008474A4" w:rsidP="003516A7">
      <w:pPr>
        <w:spacing w:before="100" w:beforeAutospacing="1" w:after="100" w:afterAutospacing="1" w:line="360" w:lineRule="auto"/>
        <w:ind w:left="0" w:right="0" w:firstLine="0"/>
        <w:outlineLvl w:val="1"/>
        <w:rPr>
          <w:bCs/>
          <w:color w:val="auto"/>
          <w:szCs w:val="24"/>
          <w:lang w:eastAsia="pt-BR"/>
        </w:rPr>
      </w:pPr>
    </w:p>
    <w:p w14:paraId="0A7AB12E" w14:textId="77777777" w:rsidR="008474A4" w:rsidRPr="003516A7" w:rsidRDefault="008474A4" w:rsidP="003516A7">
      <w:pPr>
        <w:spacing w:before="100" w:beforeAutospacing="1" w:after="100" w:afterAutospacing="1" w:line="360" w:lineRule="auto"/>
        <w:ind w:left="0" w:right="0" w:firstLine="0"/>
        <w:outlineLvl w:val="1"/>
        <w:rPr>
          <w:bCs/>
          <w:color w:val="auto"/>
          <w:szCs w:val="24"/>
          <w:lang w:eastAsia="pt-BR"/>
        </w:rPr>
      </w:pPr>
    </w:p>
    <w:p w14:paraId="6A6F9B93" w14:textId="5D99A9E9" w:rsidR="003516A7" w:rsidRPr="007F1B6E" w:rsidRDefault="003516A7" w:rsidP="009D6134">
      <w:pPr>
        <w:pStyle w:val="Cabealho1"/>
        <w:ind w:left="0" w:firstLine="0"/>
        <w:rPr>
          <w:rFonts w:ascii="Times New Roman" w:eastAsia="Calibri" w:hAnsi="Times New Roman" w:cs="Times New Roman"/>
          <w:color w:val="auto"/>
          <w:lang w:eastAsia="en-US"/>
        </w:rPr>
      </w:pPr>
      <w:bookmarkStart w:id="241" w:name="_Toc479154836"/>
      <w:r w:rsidRPr="003F49B4">
        <w:rPr>
          <w:rFonts w:ascii="Times New Roman" w:eastAsia="Calibri" w:hAnsi="Times New Roman" w:cs="Times New Roman"/>
          <w:color w:val="auto"/>
          <w:lang w:eastAsia="en-US"/>
        </w:rPr>
        <w:lastRenderedPageBreak/>
        <w:t>2. Materiais e métodos</w:t>
      </w:r>
      <w:bookmarkEnd w:id="241"/>
    </w:p>
    <w:p w14:paraId="56B055DB" w14:textId="77777777" w:rsidR="003516A7" w:rsidRDefault="003516A7" w:rsidP="003F49B4">
      <w:pPr>
        <w:pStyle w:val="Cabealho2"/>
        <w:rPr>
          <w:rFonts w:ascii="Times New Roman" w:eastAsia="Calibri" w:hAnsi="Times New Roman" w:cs="Times New Roman"/>
          <w:color w:val="auto"/>
          <w:lang w:eastAsia="en-US"/>
        </w:rPr>
      </w:pPr>
      <w:bookmarkStart w:id="242" w:name="_Toc479154837"/>
      <w:r w:rsidRPr="003F49B4">
        <w:rPr>
          <w:rFonts w:ascii="Times New Roman" w:eastAsia="Calibri" w:hAnsi="Times New Roman" w:cs="Times New Roman"/>
          <w:color w:val="auto"/>
          <w:lang w:eastAsia="en-US"/>
        </w:rPr>
        <w:t>2.1 Material vegetal e preparação das amostras</w:t>
      </w:r>
      <w:bookmarkEnd w:id="242"/>
    </w:p>
    <w:p w14:paraId="45DA8B46" w14:textId="77777777" w:rsidR="008E2EF4" w:rsidRPr="008E2EF4" w:rsidRDefault="008E2EF4" w:rsidP="008E2EF4">
      <w:pPr>
        <w:rPr>
          <w:rFonts w:eastAsia="Calibri"/>
          <w:lang w:eastAsia="en-US"/>
        </w:rPr>
      </w:pPr>
    </w:p>
    <w:p w14:paraId="6C1DD8AA" w14:textId="34513B57" w:rsidR="003516A7" w:rsidRPr="003516A7" w:rsidRDefault="003516A7" w:rsidP="008E2EF4">
      <w:pPr>
        <w:tabs>
          <w:tab w:val="left" w:pos="5814"/>
        </w:tabs>
        <w:spacing w:after="160" w:line="360" w:lineRule="auto"/>
        <w:ind w:left="0" w:right="0" w:firstLine="0"/>
        <w:rPr>
          <w:szCs w:val="24"/>
        </w:rPr>
      </w:pPr>
      <w:r w:rsidRPr="003516A7">
        <w:rPr>
          <w:szCs w:val="24"/>
        </w:rPr>
        <w:t>Os figos-da-índia foram colhidos a sul de Portugal, na região do Alentejo. Os frutos dos</w:t>
      </w:r>
      <w:r w:rsidR="008E2EF4">
        <w:rPr>
          <w:szCs w:val="24"/>
        </w:rPr>
        <w:t xml:space="preserve"> </w:t>
      </w:r>
      <w:r w:rsidRPr="003516A7">
        <w:rPr>
          <w:szCs w:val="24"/>
        </w:rPr>
        <w:t xml:space="preserve">ecótipos </w:t>
      </w:r>
      <w:r w:rsidR="00476330">
        <w:rPr>
          <w:szCs w:val="24"/>
        </w:rPr>
        <w:t>‘</w:t>
      </w:r>
      <w:r w:rsidRPr="003516A7">
        <w:rPr>
          <w:szCs w:val="24"/>
        </w:rPr>
        <w:t>laranja</w:t>
      </w:r>
      <w:r w:rsidR="00476330">
        <w:rPr>
          <w:szCs w:val="24"/>
        </w:rPr>
        <w:t>’</w:t>
      </w:r>
      <w:r w:rsidRPr="003516A7">
        <w:rPr>
          <w:szCs w:val="24"/>
        </w:rPr>
        <w:t xml:space="preserve"> e </w:t>
      </w:r>
      <w:r w:rsidR="00476330">
        <w:rPr>
          <w:szCs w:val="24"/>
        </w:rPr>
        <w:t>‘</w:t>
      </w:r>
      <w:r w:rsidRPr="003516A7">
        <w:rPr>
          <w:szCs w:val="24"/>
        </w:rPr>
        <w:t>verde</w:t>
      </w:r>
      <w:r w:rsidR="00476330">
        <w:rPr>
          <w:szCs w:val="24"/>
        </w:rPr>
        <w:t>’</w:t>
      </w:r>
      <w:r w:rsidRPr="003516A7">
        <w:rPr>
          <w:szCs w:val="24"/>
        </w:rPr>
        <w:t xml:space="preserve"> foram colhidos em Almodôvar e Serpa, respetivamente. </w:t>
      </w:r>
      <w:r w:rsidR="0042246F">
        <w:rPr>
          <w:szCs w:val="24"/>
        </w:rPr>
        <w:t>Estes frutos foram colhidos em plantas que crescem, como tradicionalmente</w:t>
      </w:r>
      <w:r w:rsidR="00A75CFD">
        <w:rPr>
          <w:szCs w:val="24"/>
        </w:rPr>
        <w:t>,</w:t>
      </w:r>
      <w:r w:rsidR="0042246F">
        <w:rPr>
          <w:szCs w:val="24"/>
        </w:rPr>
        <w:t xml:space="preserve"> na bordadura dos campos de cultivo</w:t>
      </w:r>
      <w:r w:rsidR="00A75CFD">
        <w:rPr>
          <w:szCs w:val="24"/>
        </w:rPr>
        <w:t>.</w:t>
      </w:r>
      <w:r w:rsidR="0042246F">
        <w:rPr>
          <w:szCs w:val="24"/>
        </w:rPr>
        <w:t xml:space="preserve"> </w:t>
      </w:r>
      <w:r w:rsidRPr="003516A7">
        <w:rPr>
          <w:szCs w:val="24"/>
        </w:rPr>
        <w:t xml:space="preserve">Os </w:t>
      </w:r>
      <w:r w:rsidR="003F49B4" w:rsidRPr="003516A7">
        <w:rPr>
          <w:szCs w:val="24"/>
        </w:rPr>
        <w:t xml:space="preserve">outros </w:t>
      </w:r>
      <w:r w:rsidR="003F49B4">
        <w:rPr>
          <w:szCs w:val="24"/>
        </w:rPr>
        <w:t>frutos</w:t>
      </w:r>
      <w:r w:rsidR="007E57B2">
        <w:rPr>
          <w:szCs w:val="24"/>
        </w:rPr>
        <w:t xml:space="preserve"> utilizados neste trabalho</w:t>
      </w:r>
      <w:r w:rsidR="00A75CFD">
        <w:rPr>
          <w:szCs w:val="24"/>
        </w:rPr>
        <w:t xml:space="preserve"> são das</w:t>
      </w:r>
      <w:r w:rsidR="00BD60DB">
        <w:rPr>
          <w:szCs w:val="24"/>
        </w:rPr>
        <w:t xml:space="preserve"> </w:t>
      </w:r>
      <w:r w:rsidRPr="003516A7">
        <w:rPr>
          <w:szCs w:val="24"/>
        </w:rPr>
        <w:t>cultivares</w:t>
      </w:r>
      <w:r w:rsidR="00A75CFD">
        <w:rPr>
          <w:szCs w:val="24"/>
        </w:rPr>
        <w:t xml:space="preserve"> italianas</w:t>
      </w:r>
      <w:r w:rsidRPr="003516A7">
        <w:rPr>
          <w:szCs w:val="24"/>
        </w:rPr>
        <w:t xml:space="preserve"> </w:t>
      </w:r>
      <w:r w:rsidR="00476330">
        <w:rPr>
          <w:szCs w:val="24"/>
        </w:rPr>
        <w:t>‘</w:t>
      </w:r>
      <w:r w:rsidRPr="003516A7">
        <w:rPr>
          <w:szCs w:val="24"/>
        </w:rPr>
        <w:t>Gialla</w:t>
      </w:r>
      <w:r w:rsidR="00476330">
        <w:rPr>
          <w:szCs w:val="24"/>
        </w:rPr>
        <w:t>’</w:t>
      </w:r>
      <w:r w:rsidRPr="003516A7">
        <w:rPr>
          <w:szCs w:val="24"/>
        </w:rPr>
        <w:t xml:space="preserve"> e </w:t>
      </w:r>
      <w:r w:rsidR="00476330">
        <w:rPr>
          <w:szCs w:val="24"/>
        </w:rPr>
        <w:t>‘</w:t>
      </w:r>
      <w:r w:rsidRPr="003516A7">
        <w:rPr>
          <w:szCs w:val="24"/>
        </w:rPr>
        <w:t>Rosso</w:t>
      </w:r>
      <w:r w:rsidR="00476330">
        <w:rPr>
          <w:szCs w:val="24"/>
        </w:rPr>
        <w:t>’</w:t>
      </w:r>
      <w:r w:rsidRPr="003516A7">
        <w:rPr>
          <w:szCs w:val="24"/>
        </w:rPr>
        <w:t xml:space="preserve">, foram colhidos </w:t>
      </w:r>
      <w:r w:rsidR="00A75CFD">
        <w:rPr>
          <w:szCs w:val="24"/>
        </w:rPr>
        <w:t xml:space="preserve">num pomar com 3 anos instalado </w:t>
      </w:r>
      <w:r w:rsidRPr="003516A7">
        <w:rPr>
          <w:szCs w:val="24"/>
        </w:rPr>
        <w:t>em Arraiolos. Após a colheita, os frutos foram transportados para o laboratório de pós-colheita da Universidade do Algarve, onde se selecionaram os frutos sem quaisquer danos. A estes frutos foram retirados os gloquídeos de forma a facilitar o seu manuseamento.</w:t>
      </w:r>
    </w:p>
    <w:p w14:paraId="500DE299" w14:textId="77777777" w:rsidR="003516A7" w:rsidRPr="003516A7" w:rsidRDefault="003516A7" w:rsidP="008E2EF4">
      <w:pPr>
        <w:spacing w:after="200" w:line="360" w:lineRule="auto"/>
        <w:ind w:left="0" w:right="0" w:firstLine="0"/>
        <w:rPr>
          <w:rFonts w:eastAsia="Calibri"/>
          <w:color w:val="auto"/>
          <w:szCs w:val="24"/>
          <w:lang w:val="pt-BR" w:eastAsia="en-US"/>
        </w:rPr>
      </w:pPr>
      <w:r w:rsidRPr="003516A7">
        <w:rPr>
          <w:rFonts w:eastAsia="Calibri"/>
          <w:color w:val="auto"/>
          <w:szCs w:val="24"/>
          <w:lang w:val="pt-BR" w:eastAsia="en-US"/>
        </w:rPr>
        <w:t xml:space="preserve">De seguida, foram determinadas algumas características físico-químicas destes frutos: a cor, a firmeza, o teor de sólidos solúveis (ºBrix), o pH e a acidez titulável. Posteriormente, os figos-da-índia foram descascados e a sua polpa e casca foram congeladas, separadamente, a -80 ºC, para posterior realização de análises químicas. </w:t>
      </w:r>
    </w:p>
    <w:p w14:paraId="3FBAF6B3" w14:textId="77777777" w:rsidR="003516A7" w:rsidRPr="003516A7" w:rsidRDefault="003516A7" w:rsidP="003516A7">
      <w:pPr>
        <w:tabs>
          <w:tab w:val="left" w:pos="5814"/>
        </w:tabs>
        <w:spacing w:after="160" w:line="360" w:lineRule="auto"/>
        <w:ind w:left="0" w:right="0" w:firstLine="0"/>
        <w:rPr>
          <w:rFonts w:eastAsia="Calibri"/>
          <w:color w:val="auto"/>
          <w:szCs w:val="24"/>
          <w:lang w:eastAsia="en-US"/>
        </w:rPr>
      </w:pPr>
    </w:p>
    <w:p w14:paraId="0297192F" w14:textId="77777777" w:rsidR="003516A7" w:rsidRPr="007F1B6E" w:rsidRDefault="003516A7" w:rsidP="007F1B6E">
      <w:pPr>
        <w:pStyle w:val="Cabealho2"/>
        <w:rPr>
          <w:rFonts w:ascii="Times New Roman" w:eastAsia="Calibri" w:hAnsi="Times New Roman" w:cs="Times New Roman"/>
          <w:color w:val="auto"/>
          <w:lang w:eastAsia="en-US"/>
        </w:rPr>
      </w:pPr>
      <w:bookmarkStart w:id="243" w:name="_Toc479154838"/>
      <w:r w:rsidRPr="003F49B4">
        <w:rPr>
          <w:rFonts w:ascii="Times New Roman" w:eastAsia="Calibri" w:hAnsi="Times New Roman" w:cs="Times New Roman"/>
          <w:color w:val="auto"/>
          <w:lang w:eastAsia="en-US"/>
        </w:rPr>
        <w:t>2.2 Parâmetros gerais de qualidade</w:t>
      </w:r>
      <w:bookmarkEnd w:id="243"/>
    </w:p>
    <w:p w14:paraId="79ADBF9E" w14:textId="085B2DC0" w:rsidR="003516A7" w:rsidRDefault="003516A7" w:rsidP="003F49B4">
      <w:pPr>
        <w:pStyle w:val="Cabealho3"/>
        <w:rPr>
          <w:rFonts w:ascii="Times New Roman" w:eastAsia="Calibri" w:hAnsi="Times New Roman" w:cs="Times New Roman"/>
          <w:color w:val="auto"/>
          <w:lang w:eastAsia="en-US"/>
        </w:rPr>
      </w:pPr>
      <w:bookmarkStart w:id="244" w:name="_Toc479154839"/>
      <w:r w:rsidRPr="003F49B4">
        <w:rPr>
          <w:rFonts w:ascii="Times New Roman" w:eastAsia="Calibri" w:hAnsi="Times New Roman" w:cs="Times New Roman"/>
          <w:color w:val="auto"/>
          <w:lang w:eastAsia="en-US"/>
        </w:rPr>
        <w:t>2.2.1</w:t>
      </w:r>
      <w:r w:rsidR="00570002">
        <w:rPr>
          <w:rFonts w:ascii="Times New Roman" w:eastAsia="Calibri" w:hAnsi="Times New Roman" w:cs="Times New Roman"/>
          <w:color w:val="auto"/>
          <w:lang w:eastAsia="en-US"/>
        </w:rPr>
        <w:t>. Dimensão</w:t>
      </w:r>
      <w:r w:rsidR="000838BD">
        <w:rPr>
          <w:rFonts w:ascii="Times New Roman" w:eastAsia="Calibri" w:hAnsi="Times New Roman" w:cs="Times New Roman"/>
          <w:color w:val="auto"/>
          <w:lang w:eastAsia="en-US"/>
        </w:rPr>
        <w:t xml:space="preserve"> e peso</w:t>
      </w:r>
      <w:r w:rsidR="00570002">
        <w:rPr>
          <w:rFonts w:ascii="Times New Roman" w:eastAsia="Calibri" w:hAnsi="Times New Roman" w:cs="Times New Roman"/>
          <w:color w:val="auto"/>
          <w:lang w:eastAsia="en-US"/>
        </w:rPr>
        <w:t xml:space="preserve"> dos frutos</w:t>
      </w:r>
      <w:bookmarkEnd w:id="244"/>
    </w:p>
    <w:p w14:paraId="199CFC4D" w14:textId="77777777" w:rsidR="00570002" w:rsidRPr="00882CE6" w:rsidRDefault="000838BD" w:rsidP="00882CE6">
      <w:pPr>
        <w:tabs>
          <w:tab w:val="left" w:pos="2758"/>
        </w:tabs>
        <w:rPr>
          <w:rFonts w:eastAsia="Calibri"/>
          <w:lang w:eastAsia="en-US"/>
        </w:rPr>
      </w:pPr>
      <w:r>
        <w:rPr>
          <w:rFonts w:eastAsia="Calibri"/>
          <w:lang w:eastAsia="en-US"/>
        </w:rPr>
        <w:tab/>
      </w:r>
      <w:r>
        <w:rPr>
          <w:rFonts w:eastAsia="Calibri"/>
          <w:lang w:eastAsia="en-US"/>
        </w:rPr>
        <w:tab/>
      </w:r>
    </w:p>
    <w:p w14:paraId="3687CFBE" w14:textId="77777777" w:rsidR="00570002" w:rsidRDefault="00570002" w:rsidP="00882CE6">
      <w:pPr>
        <w:rPr>
          <w:rFonts w:eastAsia="Calibri"/>
          <w:lang w:eastAsia="en-US"/>
        </w:rPr>
      </w:pPr>
      <w:r>
        <w:rPr>
          <w:rFonts w:eastAsia="Calibri"/>
          <w:lang w:eastAsia="en-US"/>
        </w:rPr>
        <w:t>Utilizou-se uma craveira para medir o diâmetro na zona média dos frutos e o comprimento (ou altura) dos frutos</w:t>
      </w:r>
      <w:r w:rsidR="000838BD" w:rsidRPr="000838BD">
        <w:rPr>
          <w:rFonts w:eastAsia="Calibri"/>
          <w:color w:val="auto"/>
          <w:szCs w:val="24"/>
          <w:lang w:val="pt-BR" w:eastAsia="en-US"/>
        </w:rPr>
        <w:t xml:space="preserve"> </w:t>
      </w:r>
      <w:r w:rsidR="000838BD" w:rsidRPr="00545429">
        <w:rPr>
          <w:rFonts w:eastAsia="Calibri"/>
          <w:color w:val="auto"/>
          <w:szCs w:val="24"/>
          <w:lang w:val="pt-BR" w:eastAsia="en-US"/>
        </w:rPr>
        <w:t xml:space="preserve">(3 </w:t>
      </w:r>
      <w:r w:rsidR="000838BD">
        <w:rPr>
          <w:rFonts w:eastAsia="Calibri"/>
          <w:color w:val="auto"/>
          <w:szCs w:val="24"/>
          <w:lang w:val="pt-BR" w:eastAsia="en-US"/>
        </w:rPr>
        <w:t>repetições com 1</w:t>
      </w:r>
      <w:r w:rsidR="000838BD" w:rsidRPr="00545429">
        <w:rPr>
          <w:rFonts w:eastAsia="Calibri"/>
          <w:color w:val="auto"/>
          <w:szCs w:val="24"/>
          <w:lang w:val="pt-BR" w:eastAsia="en-US"/>
        </w:rPr>
        <w:t>0 frutos</w:t>
      </w:r>
      <w:r w:rsidR="000838BD">
        <w:rPr>
          <w:rFonts w:eastAsia="Calibri"/>
          <w:color w:val="auto"/>
          <w:szCs w:val="24"/>
          <w:lang w:val="pt-BR" w:eastAsia="en-US"/>
        </w:rPr>
        <w:t>/repetição</w:t>
      </w:r>
      <w:r w:rsidR="004D6C6A">
        <w:rPr>
          <w:rFonts w:eastAsia="Calibri"/>
          <w:color w:val="auto"/>
          <w:szCs w:val="24"/>
          <w:lang w:val="pt-BR" w:eastAsia="en-US"/>
        </w:rPr>
        <w:t xml:space="preserve"> para cada ecótipo ou cultivar</w:t>
      </w:r>
      <w:r w:rsidR="000838BD" w:rsidRPr="00545429">
        <w:rPr>
          <w:rFonts w:eastAsia="Calibri"/>
          <w:color w:val="auto"/>
          <w:szCs w:val="24"/>
          <w:lang w:val="pt-BR" w:eastAsia="en-US"/>
        </w:rPr>
        <w:t>)</w:t>
      </w:r>
      <w:r>
        <w:rPr>
          <w:rFonts w:eastAsia="Calibri"/>
          <w:lang w:eastAsia="en-US"/>
        </w:rPr>
        <w:t>.</w:t>
      </w:r>
      <w:r w:rsidR="000838BD" w:rsidRPr="000838BD">
        <w:rPr>
          <w:rFonts w:eastAsia="Calibri"/>
          <w:color w:val="auto"/>
          <w:szCs w:val="24"/>
          <w:lang w:val="pt-BR" w:eastAsia="en-US"/>
        </w:rPr>
        <w:t xml:space="preserve"> </w:t>
      </w:r>
      <w:r w:rsidR="000838BD">
        <w:rPr>
          <w:rFonts w:eastAsia="Calibri"/>
          <w:color w:val="auto"/>
          <w:szCs w:val="24"/>
          <w:lang w:val="pt-BR" w:eastAsia="en-US"/>
        </w:rPr>
        <w:t>O</w:t>
      </w:r>
      <w:r w:rsidR="000838BD" w:rsidRPr="00545429">
        <w:rPr>
          <w:rFonts w:eastAsia="Calibri"/>
          <w:color w:val="auto"/>
          <w:szCs w:val="24"/>
          <w:lang w:val="pt-BR" w:eastAsia="en-US"/>
        </w:rPr>
        <w:t>s mesmo 30 frutos</w:t>
      </w:r>
      <w:r w:rsidR="000838BD">
        <w:rPr>
          <w:rFonts w:eastAsia="Calibri"/>
          <w:color w:val="auto"/>
          <w:szCs w:val="24"/>
          <w:lang w:val="pt-BR" w:eastAsia="en-US"/>
        </w:rPr>
        <w:t xml:space="preserve"> foram pesados individualmente.</w:t>
      </w:r>
    </w:p>
    <w:p w14:paraId="13398797" w14:textId="77777777" w:rsidR="00570002" w:rsidRPr="008E4A6F" w:rsidRDefault="00570002" w:rsidP="008E4A6F">
      <w:pPr>
        <w:pStyle w:val="Cabealho3"/>
        <w:rPr>
          <w:rFonts w:ascii="Times New Roman" w:eastAsia="Calibri" w:hAnsi="Times New Roman" w:cs="Times New Roman"/>
          <w:color w:val="auto"/>
          <w:lang w:eastAsia="en-US"/>
        </w:rPr>
      </w:pPr>
    </w:p>
    <w:p w14:paraId="7F0953E0" w14:textId="77777777" w:rsidR="00570002" w:rsidRPr="008E4A6F" w:rsidRDefault="00570002" w:rsidP="008E4A6F">
      <w:pPr>
        <w:pStyle w:val="Cabealho3"/>
        <w:rPr>
          <w:rFonts w:ascii="Times New Roman" w:eastAsia="Calibri" w:hAnsi="Times New Roman" w:cs="Times New Roman"/>
          <w:color w:val="auto"/>
          <w:lang w:eastAsia="en-US"/>
        </w:rPr>
      </w:pPr>
      <w:bookmarkStart w:id="245" w:name="_Toc479154840"/>
      <w:r w:rsidRPr="008E4A6F">
        <w:rPr>
          <w:rFonts w:ascii="Times New Roman" w:eastAsia="Calibri" w:hAnsi="Times New Roman" w:cs="Times New Roman"/>
          <w:color w:val="auto"/>
          <w:lang w:eastAsia="en-US"/>
        </w:rPr>
        <w:t>2.2.2. Cor</w:t>
      </w:r>
      <w:bookmarkEnd w:id="245"/>
    </w:p>
    <w:p w14:paraId="23E3B595" w14:textId="77777777" w:rsidR="003516A7" w:rsidRPr="003516A7" w:rsidRDefault="003516A7" w:rsidP="003516A7">
      <w:pPr>
        <w:rPr>
          <w:rFonts w:eastAsia="Calibri"/>
          <w:lang w:eastAsia="en-US"/>
        </w:rPr>
      </w:pPr>
    </w:p>
    <w:p w14:paraId="71B9DCAF" w14:textId="4EF577C1" w:rsidR="003516A7" w:rsidRPr="003516A7" w:rsidRDefault="003516A7" w:rsidP="003516A7">
      <w:pPr>
        <w:spacing w:after="200" w:line="360" w:lineRule="auto"/>
        <w:ind w:left="0" w:right="0" w:firstLine="0"/>
        <w:rPr>
          <w:rFonts w:eastAsia="Calibri"/>
          <w:color w:val="auto"/>
          <w:szCs w:val="24"/>
          <w:lang w:val="pt-BR" w:eastAsia="en-US"/>
        </w:rPr>
      </w:pPr>
      <w:r w:rsidRPr="003516A7">
        <w:rPr>
          <w:rFonts w:eastAsia="Calibri"/>
          <w:color w:val="auto"/>
          <w:szCs w:val="24"/>
          <w:lang w:val="pt-BR" w:eastAsia="en-US"/>
        </w:rPr>
        <w:t xml:space="preserve">A cor foi medida </w:t>
      </w:r>
      <w:r w:rsidR="00A75CFD">
        <w:rPr>
          <w:rFonts w:eastAsia="Calibri"/>
          <w:color w:val="auto"/>
          <w:szCs w:val="24"/>
          <w:lang w:val="pt-BR" w:eastAsia="en-US"/>
        </w:rPr>
        <w:t>u</w:t>
      </w:r>
      <w:r w:rsidR="00270850">
        <w:rPr>
          <w:rFonts w:eastAsia="Calibri"/>
          <w:color w:val="auto"/>
          <w:szCs w:val="24"/>
          <w:lang w:val="pt-BR" w:eastAsia="en-US"/>
        </w:rPr>
        <w:t>tiliz</w:t>
      </w:r>
      <w:r w:rsidR="00A75CFD">
        <w:rPr>
          <w:rFonts w:eastAsia="Calibri"/>
          <w:color w:val="auto"/>
          <w:szCs w:val="24"/>
          <w:lang w:val="pt-BR" w:eastAsia="en-US"/>
        </w:rPr>
        <w:t>ando um</w:t>
      </w:r>
      <w:r w:rsidR="00A75CFD" w:rsidRPr="003516A7">
        <w:rPr>
          <w:rFonts w:eastAsia="Calibri"/>
          <w:color w:val="auto"/>
          <w:szCs w:val="24"/>
          <w:lang w:val="pt-BR" w:eastAsia="en-US"/>
        </w:rPr>
        <w:t xml:space="preserve"> </w:t>
      </w:r>
      <w:r w:rsidRPr="003516A7">
        <w:rPr>
          <w:rFonts w:eastAsia="Calibri"/>
          <w:color w:val="auto"/>
          <w:szCs w:val="24"/>
          <w:lang w:val="pt-BR" w:eastAsia="en-US"/>
        </w:rPr>
        <w:t>colorímetro Minolta Meter CR-300 (CE Minolta, Japan) que u</w:t>
      </w:r>
      <w:r w:rsidR="00270850">
        <w:rPr>
          <w:rFonts w:eastAsia="Calibri"/>
          <w:color w:val="auto"/>
          <w:szCs w:val="24"/>
          <w:lang w:val="pt-BR" w:eastAsia="en-US"/>
        </w:rPr>
        <w:t>s</w:t>
      </w:r>
      <w:r w:rsidRPr="003516A7">
        <w:rPr>
          <w:rFonts w:eastAsia="Calibri"/>
          <w:color w:val="auto"/>
          <w:szCs w:val="24"/>
          <w:lang w:val="pt-BR" w:eastAsia="en-US"/>
        </w:rPr>
        <w:t>a estímulos tridimensionais para a medição de cor refletida à superfície, com uma iluminação difusiva e um ângulo de visão de 10ᵒ.</w:t>
      </w:r>
    </w:p>
    <w:p w14:paraId="02541153" w14:textId="46FD1D3B" w:rsidR="003516A7" w:rsidRPr="003516A7" w:rsidRDefault="003516A7" w:rsidP="003516A7">
      <w:pPr>
        <w:spacing w:after="200" w:line="360" w:lineRule="auto"/>
        <w:ind w:left="0" w:right="0" w:firstLine="0"/>
        <w:rPr>
          <w:rFonts w:eastAsia="Calibri"/>
          <w:color w:val="auto"/>
          <w:szCs w:val="24"/>
          <w:lang w:val="pt-BR" w:eastAsia="en-US"/>
        </w:rPr>
      </w:pPr>
      <w:r w:rsidRPr="003516A7">
        <w:rPr>
          <w:rFonts w:eastAsia="Calibri"/>
          <w:color w:val="auto"/>
          <w:szCs w:val="24"/>
          <w:lang w:val="pt-BR" w:eastAsia="en-US"/>
        </w:rPr>
        <w:lastRenderedPageBreak/>
        <w:t xml:space="preserve">Este colorímetro apresenta vários tipos de sistema de cores para quantificar as diferenças de cores sendo o escolhido o sistema de CIE (L*, a*, b*, C*, hᵒ) com iluminante D65. Onde o valor de a* caracteriza desde o verde (-a*) ao vermelho (+a*), o b* indica as alterações na coloração entre o azul (-b*) e o amarelo (+b*), já o L* representa o grau de luminosidade que varia entre o branco (L*=100) e o preto (L*=0) </w:t>
      </w:r>
      <w:r w:rsidRPr="003516A7">
        <w:rPr>
          <w:rFonts w:eastAsia="Calibri"/>
          <w:color w:val="auto"/>
          <w:szCs w:val="24"/>
          <w:lang w:val="pt-BR" w:eastAsia="en-US"/>
        </w:rPr>
        <w:fldChar w:fldCharType="begin" w:fldLock="1"/>
      </w:r>
      <w:r w:rsidR="00BC0CEB">
        <w:rPr>
          <w:rFonts w:eastAsia="Calibri"/>
          <w:color w:val="auto"/>
          <w:szCs w:val="24"/>
          <w:lang w:val="pt-BR" w:eastAsia="en-US"/>
        </w:rPr>
        <w:instrText>ADDIN CSL_CITATION { "citationItems" : [ { "id" : "ITEM-1", "itemData" : { "author" : [ { "dropping-particle" : "", "family" : "Guerreiro", "given" : "Adriana Cavaco", "non-dropping-particle" : "", "parse-names" : false, "suffix" : "" } ], "id" : "ITEM-1", "issued" : { "date-parts" : [ [ "2012" ] ] }, "number-of-pages" : "162 pp", "publisher" : "Universidade do Algarve", "title" : "Conserva\u00e7\u00e3o do medronho em fresco e em geleia Conserva\u00e7\u00e3o do medronho em fresco e em geleia", "type" : "thesis" }, "uris" : [ "http://www.mendeley.com/documents/?uuid=7197006e-fa41-4fc9-9f31-0ff148fe8966" ] } ], "mendeley" : { "formattedCitation" : "(Guerreiro, 2012)", "plainTextFormattedCitation" : "(Guerreiro, 2012)", "previouslyFormattedCitation" : "(Guerreiro, 2012)" }, "properties" : { "noteIndex" : 0 }, "schema" : "https://github.com/citation-style-language/schema/raw/master/csl-citation.json" }</w:instrText>
      </w:r>
      <w:r w:rsidRPr="003516A7">
        <w:rPr>
          <w:rFonts w:eastAsia="Calibri"/>
          <w:color w:val="auto"/>
          <w:szCs w:val="24"/>
          <w:lang w:val="pt-BR" w:eastAsia="en-US"/>
        </w:rPr>
        <w:fldChar w:fldCharType="separate"/>
      </w:r>
      <w:r w:rsidRPr="003516A7">
        <w:rPr>
          <w:rFonts w:eastAsia="Calibri"/>
          <w:noProof/>
          <w:color w:val="auto"/>
          <w:szCs w:val="24"/>
          <w:lang w:val="pt-BR" w:eastAsia="en-US"/>
        </w:rPr>
        <w:t>(Guerreiro, 2012)</w:t>
      </w:r>
      <w:r w:rsidRPr="003516A7">
        <w:rPr>
          <w:rFonts w:eastAsia="Calibri"/>
          <w:color w:val="auto"/>
          <w:szCs w:val="24"/>
          <w:lang w:val="pt-BR" w:eastAsia="en-US"/>
        </w:rPr>
        <w:fldChar w:fldCharType="end"/>
      </w:r>
      <w:r w:rsidRPr="003516A7">
        <w:rPr>
          <w:rFonts w:eastAsia="Calibri"/>
          <w:color w:val="auto"/>
          <w:szCs w:val="24"/>
          <w:lang w:val="pt-BR" w:eastAsia="en-US"/>
        </w:rPr>
        <w:t>.</w:t>
      </w:r>
    </w:p>
    <w:p w14:paraId="6E29586B" w14:textId="582FFA52" w:rsidR="00545429" w:rsidRPr="00545429" w:rsidRDefault="003516A7" w:rsidP="00545429">
      <w:pPr>
        <w:tabs>
          <w:tab w:val="left" w:pos="5814"/>
        </w:tabs>
        <w:spacing w:after="160" w:line="360" w:lineRule="auto"/>
        <w:ind w:left="0" w:right="0" w:firstLine="0"/>
        <w:rPr>
          <w:rFonts w:eastAsia="Calibri"/>
          <w:color w:val="auto"/>
          <w:szCs w:val="24"/>
          <w:lang w:val="pt-BR" w:eastAsia="en-US"/>
        </w:rPr>
      </w:pPr>
      <w:r w:rsidRPr="003516A7">
        <w:rPr>
          <w:rFonts w:eastAsia="Calibri"/>
          <w:color w:val="auto"/>
          <w:szCs w:val="24"/>
          <w:lang w:val="pt-BR" w:eastAsia="en-US"/>
        </w:rPr>
        <w:t>As determinações da cor foram efetuadas em 30 frutos (3</w:t>
      </w:r>
      <w:r w:rsidR="00270850">
        <w:rPr>
          <w:rFonts w:eastAsia="Calibri"/>
          <w:color w:val="auto"/>
          <w:szCs w:val="24"/>
          <w:lang w:val="pt-BR" w:eastAsia="en-US"/>
        </w:rPr>
        <w:t>repetições com</w:t>
      </w:r>
      <w:r w:rsidRPr="003516A7">
        <w:rPr>
          <w:rFonts w:eastAsia="Calibri"/>
          <w:color w:val="auto"/>
          <w:szCs w:val="24"/>
          <w:lang w:val="pt-BR" w:eastAsia="en-US"/>
        </w:rPr>
        <w:t xml:space="preserve"> 10 frutos</w:t>
      </w:r>
      <w:r w:rsidR="00270850">
        <w:rPr>
          <w:rFonts w:eastAsia="Calibri"/>
          <w:color w:val="auto"/>
          <w:szCs w:val="24"/>
          <w:lang w:val="pt-BR" w:eastAsia="en-US"/>
        </w:rPr>
        <w:t>/repetição</w:t>
      </w:r>
      <w:r w:rsidRPr="003516A7">
        <w:rPr>
          <w:rFonts w:eastAsia="Calibri"/>
          <w:color w:val="auto"/>
          <w:szCs w:val="24"/>
          <w:lang w:val="pt-BR" w:eastAsia="en-US"/>
        </w:rPr>
        <w:t>). Em cada um dos frutos os parâmetros da cor (L*, a* e b*) foram medidos em 3 pontos da zona</w:t>
      </w:r>
      <w:r w:rsidR="00545429">
        <w:rPr>
          <w:rFonts w:eastAsia="Calibri"/>
          <w:color w:val="auto"/>
          <w:szCs w:val="24"/>
          <w:lang w:val="pt-BR" w:eastAsia="en-US"/>
        </w:rPr>
        <w:t xml:space="preserve"> </w:t>
      </w:r>
      <w:r w:rsidR="00545429" w:rsidRPr="00545429">
        <w:rPr>
          <w:rFonts w:eastAsia="Calibri"/>
          <w:color w:val="auto"/>
          <w:szCs w:val="24"/>
          <w:lang w:val="pt-BR" w:eastAsia="en-US"/>
        </w:rPr>
        <w:t>equatorial  do figo-da-índia, e posteriormente foi calculado o chroma (C*) que nos indica a saturação ou intensidade de cor, ou seja, quanto mais forte e brilhante for a cor mais afastado está da origem das coordenadas e o ângulo Hue (hᵒ). Estes parâmetros de cor são calculados a partir dos valores de a* e b* através das seguintes fórmulas:</w:t>
      </w:r>
    </w:p>
    <w:p w14:paraId="4331F4B6" w14:textId="77777777" w:rsidR="00545429" w:rsidRPr="00545429" w:rsidRDefault="00805B44" w:rsidP="00545429">
      <w:pPr>
        <w:numPr>
          <w:ilvl w:val="0"/>
          <w:numId w:val="3"/>
        </w:numPr>
        <w:spacing w:after="200" w:line="360" w:lineRule="auto"/>
        <w:ind w:right="0"/>
        <w:contextualSpacing/>
        <w:jc w:val="left"/>
        <w:rPr>
          <w:color w:val="auto"/>
          <w:szCs w:val="24"/>
          <w:lang w:val="pt-BR" w:eastAsia="en-US"/>
        </w:rPr>
      </w:pPr>
      <m:oMath>
        <m:sSup>
          <m:sSupPr>
            <m:ctrlPr>
              <w:rPr>
                <w:rFonts w:ascii="Cambria Math" w:hAnsi="Cambria Math"/>
                <w:i/>
                <w:color w:val="auto"/>
                <w:szCs w:val="24"/>
                <w:lang w:val="pt-BR" w:eastAsia="en-US"/>
              </w:rPr>
            </m:ctrlPr>
          </m:sSupPr>
          <m:e>
            <m:r>
              <w:rPr>
                <w:rFonts w:ascii="Cambria Math" w:hAnsi="Cambria Math"/>
                <w:color w:val="auto"/>
                <w:szCs w:val="24"/>
                <w:lang w:val="pt-BR" w:eastAsia="en-US"/>
              </w:rPr>
              <m:t>C</m:t>
            </m:r>
          </m:e>
          <m:sup>
            <m:r>
              <w:rPr>
                <w:rFonts w:ascii="Cambria Math" w:hAnsi="Cambria Math"/>
                <w:color w:val="auto"/>
                <w:szCs w:val="24"/>
                <w:lang w:val="pt-BR" w:eastAsia="en-US"/>
              </w:rPr>
              <m:t>*</m:t>
            </m:r>
          </m:sup>
        </m:sSup>
        <m:r>
          <w:rPr>
            <w:rFonts w:ascii="Cambria Math" w:hAnsi="Cambria Math"/>
            <w:color w:val="auto"/>
            <w:szCs w:val="24"/>
            <w:lang w:val="pt-BR" w:eastAsia="en-US"/>
          </w:rPr>
          <m:t>=</m:t>
        </m:r>
        <m:rad>
          <m:radPr>
            <m:degHide m:val="1"/>
            <m:ctrlPr>
              <w:rPr>
                <w:rFonts w:ascii="Cambria Math" w:hAnsi="Cambria Math"/>
                <w:i/>
                <w:color w:val="auto"/>
                <w:szCs w:val="24"/>
                <w:lang w:val="pt-BR" w:eastAsia="en-US"/>
              </w:rPr>
            </m:ctrlPr>
          </m:radPr>
          <m:deg/>
          <m:e>
            <m:sSup>
              <m:sSupPr>
                <m:ctrlPr>
                  <w:rPr>
                    <w:rFonts w:ascii="Cambria Math" w:hAnsi="Cambria Math"/>
                    <w:i/>
                    <w:color w:val="auto"/>
                    <w:szCs w:val="24"/>
                    <w:lang w:val="pt-BR" w:eastAsia="en-US"/>
                  </w:rPr>
                </m:ctrlPr>
              </m:sSupPr>
              <m:e>
                <m:r>
                  <w:rPr>
                    <w:rFonts w:ascii="Cambria Math" w:hAnsi="Cambria Math"/>
                    <w:color w:val="auto"/>
                    <w:szCs w:val="24"/>
                    <w:lang w:val="pt-BR" w:eastAsia="en-US"/>
                  </w:rPr>
                  <m:t>a</m:t>
                </m:r>
              </m:e>
              <m:sup>
                <m:r>
                  <w:rPr>
                    <w:rFonts w:ascii="Cambria Math" w:hAnsi="Cambria Math"/>
                    <w:color w:val="auto"/>
                    <w:szCs w:val="24"/>
                    <w:lang w:val="pt-BR" w:eastAsia="en-US"/>
                  </w:rPr>
                  <m:t>*</m:t>
                </m:r>
              </m:sup>
            </m:sSup>
            <m:r>
              <w:rPr>
                <w:rFonts w:ascii="Cambria Math" w:hAnsi="Cambria Math"/>
                <w:color w:val="auto"/>
                <w:szCs w:val="24"/>
                <w:lang w:val="pt-BR" w:eastAsia="en-US"/>
              </w:rPr>
              <m:t>+</m:t>
            </m:r>
            <m:sSup>
              <m:sSupPr>
                <m:ctrlPr>
                  <w:rPr>
                    <w:rFonts w:ascii="Cambria Math" w:hAnsi="Cambria Math"/>
                    <w:i/>
                    <w:color w:val="auto"/>
                    <w:szCs w:val="24"/>
                    <w:lang w:val="pt-BR" w:eastAsia="en-US"/>
                  </w:rPr>
                </m:ctrlPr>
              </m:sSupPr>
              <m:e>
                <m:r>
                  <w:rPr>
                    <w:rFonts w:ascii="Cambria Math" w:hAnsi="Cambria Math"/>
                    <w:color w:val="auto"/>
                    <w:szCs w:val="24"/>
                    <w:lang w:val="pt-BR" w:eastAsia="en-US"/>
                  </w:rPr>
                  <m:t>b</m:t>
                </m:r>
              </m:e>
              <m:sup>
                <m:r>
                  <w:rPr>
                    <w:rFonts w:ascii="Cambria Math" w:hAnsi="Cambria Math"/>
                    <w:color w:val="auto"/>
                    <w:szCs w:val="24"/>
                    <w:lang w:val="pt-BR" w:eastAsia="en-US"/>
                  </w:rPr>
                  <m:t>*</m:t>
                </m:r>
              </m:sup>
            </m:sSup>
          </m:e>
        </m:rad>
      </m:oMath>
    </w:p>
    <w:p w14:paraId="6E85D3FD" w14:textId="77777777" w:rsidR="00545429" w:rsidRPr="00545429" w:rsidRDefault="00545429" w:rsidP="00545429">
      <w:pPr>
        <w:numPr>
          <w:ilvl w:val="0"/>
          <w:numId w:val="3"/>
        </w:numPr>
        <w:spacing w:after="200" w:line="360" w:lineRule="auto"/>
        <w:ind w:right="0"/>
        <w:contextualSpacing/>
        <w:jc w:val="left"/>
        <w:rPr>
          <w:rFonts w:eastAsia="Calibri"/>
          <w:color w:val="auto"/>
          <w:szCs w:val="24"/>
          <w:lang w:val="pt-BR" w:eastAsia="en-US"/>
        </w:rPr>
      </w:pPr>
      <w:r w:rsidRPr="00545429">
        <w:rPr>
          <w:rFonts w:eastAsia="Calibri"/>
          <w:color w:val="auto"/>
          <w:szCs w:val="24"/>
          <w:lang w:val="pt-BR" w:eastAsia="en-US"/>
        </w:rPr>
        <w:t xml:space="preserve">Se a*&gt;0  , b*&gt;0  </w:t>
      </w:r>
      <m:oMath>
        <m:r>
          <m:rPr>
            <m:sty m:val="p"/>
          </m:rPr>
          <w:rPr>
            <w:rFonts w:ascii="Cambria Math" w:eastAsia="Calibri" w:hAnsi="Cambria Math"/>
            <w:color w:val="auto"/>
            <w:szCs w:val="24"/>
            <w:lang w:val="pt-BR" w:eastAsia="en-US"/>
          </w:rPr>
          <m:t>hᵒ=arctg (</m:t>
        </m:r>
        <m:f>
          <m:fPr>
            <m:ctrlPr>
              <w:rPr>
                <w:rFonts w:ascii="Cambria Math" w:eastAsia="Calibri" w:hAnsi="Cambria Math"/>
                <w:color w:val="auto"/>
                <w:szCs w:val="24"/>
                <w:lang w:val="pt-BR" w:eastAsia="en-US"/>
              </w:rPr>
            </m:ctrlPr>
          </m:fPr>
          <m:num>
            <m:sSup>
              <m:sSupPr>
                <m:ctrlPr>
                  <w:rPr>
                    <w:rFonts w:ascii="Cambria Math" w:eastAsia="Calibri" w:hAnsi="Cambria Math"/>
                    <w:color w:val="auto"/>
                    <w:szCs w:val="24"/>
                    <w:lang w:val="pt-BR" w:eastAsia="en-US"/>
                  </w:rPr>
                </m:ctrlPr>
              </m:sSupPr>
              <m:e>
                <m:r>
                  <m:rPr>
                    <m:sty m:val="p"/>
                  </m:rPr>
                  <w:rPr>
                    <w:rFonts w:ascii="Cambria Math" w:eastAsia="Calibri" w:hAnsi="Cambria Math"/>
                    <w:color w:val="auto"/>
                    <w:szCs w:val="24"/>
                    <w:lang w:val="pt-BR" w:eastAsia="en-US"/>
                  </w:rPr>
                  <m:t>b</m:t>
                </m:r>
              </m:e>
              <m:sup>
                <m:r>
                  <m:rPr>
                    <m:sty m:val="p"/>
                  </m:rPr>
                  <w:rPr>
                    <w:rFonts w:ascii="Cambria Math" w:eastAsia="Calibri" w:hAnsi="Cambria Math"/>
                    <w:color w:val="auto"/>
                    <w:szCs w:val="24"/>
                    <w:lang w:val="pt-BR" w:eastAsia="en-US"/>
                  </w:rPr>
                  <m:t>*</m:t>
                </m:r>
              </m:sup>
            </m:sSup>
          </m:num>
          <m:den>
            <m:eqArr>
              <m:eqArrPr>
                <m:ctrlPr>
                  <w:rPr>
                    <w:rFonts w:ascii="Cambria Math" w:eastAsia="Calibri" w:hAnsi="Cambria Math"/>
                    <w:i/>
                    <w:color w:val="auto"/>
                    <w:szCs w:val="24"/>
                    <w:lang w:val="pt-BR" w:eastAsia="en-US"/>
                  </w:rPr>
                </m:ctrlPr>
              </m:eqArrPr>
              <m:e>
                <m:sSup>
                  <m:sSupPr>
                    <m:ctrlPr>
                      <w:rPr>
                        <w:rFonts w:ascii="Cambria Math" w:eastAsia="Calibri" w:hAnsi="Cambria Math"/>
                        <w:color w:val="auto"/>
                        <w:szCs w:val="24"/>
                        <w:lang w:val="pt-BR" w:eastAsia="en-US"/>
                      </w:rPr>
                    </m:ctrlPr>
                  </m:sSupPr>
                  <m:e>
                    <m:r>
                      <m:rPr>
                        <m:sty m:val="p"/>
                      </m:rPr>
                      <w:rPr>
                        <w:rFonts w:ascii="Cambria Math" w:eastAsia="Calibri" w:hAnsi="Cambria Math"/>
                        <w:color w:val="auto"/>
                        <w:szCs w:val="24"/>
                        <w:lang w:val="pt-BR" w:eastAsia="en-US"/>
                      </w:rPr>
                      <m:t>a</m:t>
                    </m:r>
                  </m:e>
                  <m:sup>
                    <m:r>
                      <m:rPr>
                        <m:sty m:val="p"/>
                      </m:rPr>
                      <w:rPr>
                        <w:rFonts w:ascii="Cambria Math" w:eastAsia="Calibri" w:hAnsi="Cambria Math"/>
                        <w:color w:val="auto"/>
                        <w:szCs w:val="24"/>
                        <w:lang w:val="pt-BR" w:eastAsia="en-US"/>
                      </w:rPr>
                      <m:t>*</m:t>
                    </m:r>
                  </m:sup>
                </m:sSup>
              </m:e>
              <m:e/>
            </m:eqArr>
          </m:den>
        </m:f>
        <m:r>
          <w:rPr>
            <w:rFonts w:ascii="Cambria Math" w:eastAsia="Calibri" w:hAnsi="Cambria Math"/>
            <w:color w:val="auto"/>
            <w:szCs w:val="24"/>
            <w:lang w:val="pt-BR" w:eastAsia="en-US"/>
          </w:rPr>
          <m:t>)</m:t>
        </m:r>
      </m:oMath>
      <w:r w:rsidRPr="00545429">
        <w:rPr>
          <w:color w:val="auto"/>
          <w:szCs w:val="24"/>
          <w:lang w:val="pt-BR" w:eastAsia="en-US"/>
        </w:rPr>
        <w:t xml:space="preserve">;  Se </w:t>
      </w:r>
      <w:r w:rsidRPr="00545429">
        <w:rPr>
          <w:rFonts w:eastAsia="Calibri"/>
          <w:color w:val="auto"/>
          <w:szCs w:val="24"/>
          <w:lang w:val="pt-BR" w:eastAsia="en-US"/>
        </w:rPr>
        <w:t xml:space="preserve">a*&lt;0 , b*&gt;0 </w:t>
      </w:r>
      <m:oMath>
        <m:r>
          <w:rPr>
            <w:rFonts w:ascii="Cambria Math" w:eastAsia="Calibri" w:hAnsi="Cambria Math"/>
            <w:color w:val="auto"/>
            <w:szCs w:val="24"/>
            <w:lang w:val="pt-BR" w:eastAsia="en-US"/>
          </w:rPr>
          <m:t>hᵒ=180+artg (</m:t>
        </m:r>
        <m:f>
          <m:fPr>
            <m:ctrlPr>
              <w:rPr>
                <w:rFonts w:ascii="Cambria Math" w:eastAsia="Calibri" w:hAnsi="Cambria Math"/>
                <w:i/>
                <w:color w:val="auto"/>
                <w:szCs w:val="24"/>
                <w:lang w:val="pt-BR" w:eastAsia="en-US"/>
              </w:rPr>
            </m:ctrlPr>
          </m:fPr>
          <m:num>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b</m:t>
                </m:r>
              </m:e>
              <m:sup>
                <m:r>
                  <w:rPr>
                    <w:rFonts w:ascii="Cambria Math" w:eastAsia="Calibri" w:hAnsi="Cambria Math"/>
                    <w:color w:val="auto"/>
                    <w:szCs w:val="24"/>
                    <w:lang w:val="pt-BR" w:eastAsia="en-US"/>
                  </w:rPr>
                  <m:t>*</m:t>
                </m:r>
              </m:sup>
            </m:sSup>
          </m:num>
          <m:den>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a</m:t>
                </m:r>
              </m:e>
              <m:sup>
                <m:r>
                  <w:rPr>
                    <w:rFonts w:ascii="Cambria Math" w:eastAsia="Calibri" w:hAnsi="Cambria Math"/>
                    <w:color w:val="auto"/>
                    <w:szCs w:val="24"/>
                    <w:lang w:val="pt-BR" w:eastAsia="en-US"/>
                  </w:rPr>
                  <m:t>*</m:t>
                </m:r>
              </m:sup>
            </m:sSup>
          </m:den>
        </m:f>
        <m:r>
          <w:rPr>
            <w:rFonts w:ascii="Cambria Math" w:eastAsia="Calibri" w:hAnsi="Cambria Math"/>
            <w:color w:val="auto"/>
            <w:szCs w:val="24"/>
            <w:lang w:val="pt-BR" w:eastAsia="en-US"/>
          </w:rPr>
          <m:t>)</m:t>
        </m:r>
      </m:oMath>
      <w:r w:rsidRPr="00545429">
        <w:rPr>
          <w:color w:val="auto"/>
          <w:szCs w:val="24"/>
          <w:lang w:val="pt-BR" w:eastAsia="en-US"/>
        </w:rPr>
        <w:t xml:space="preserve">; </w:t>
      </w:r>
    </w:p>
    <w:p w14:paraId="1F228401" w14:textId="77777777" w:rsidR="00545429" w:rsidRPr="00545429" w:rsidRDefault="00545429" w:rsidP="00545429">
      <w:pPr>
        <w:spacing w:after="200" w:line="360" w:lineRule="auto"/>
        <w:ind w:right="0"/>
        <w:contextualSpacing/>
        <w:rPr>
          <w:rFonts w:eastAsia="Calibri"/>
          <w:color w:val="auto"/>
          <w:szCs w:val="24"/>
          <w:lang w:val="pt-BR" w:eastAsia="en-US"/>
        </w:rPr>
      </w:pPr>
      <w:r w:rsidRPr="00545429">
        <w:rPr>
          <w:color w:val="auto"/>
          <w:szCs w:val="24"/>
          <w:lang w:val="pt-BR" w:eastAsia="en-US"/>
        </w:rPr>
        <w:t xml:space="preserve">        Se </w:t>
      </w:r>
      <w:r w:rsidRPr="00545429">
        <w:rPr>
          <w:rFonts w:eastAsia="Calibri"/>
          <w:color w:val="auto"/>
          <w:szCs w:val="24"/>
          <w:lang w:val="pt-BR" w:eastAsia="en-US"/>
        </w:rPr>
        <w:t xml:space="preserve">a*&gt;0 , b*&lt;0 </w:t>
      </w:r>
      <m:oMath>
        <m:r>
          <w:rPr>
            <w:rFonts w:ascii="Cambria Math" w:eastAsia="Calibri" w:hAnsi="Cambria Math"/>
            <w:color w:val="auto"/>
            <w:szCs w:val="24"/>
            <w:lang w:val="pt-BR" w:eastAsia="en-US"/>
          </w:rPr>
          <m:t>hᵒ=270+arctg (</m:t>
        </m:r>
        <m:f>
          <m:fPr>
            <m:ctrlPr>
              <w:rPr>
                <w:rFonts w:ascii="Cambria Math" w:eastAsia="Calibri" w:hAnsi="Cambria Math"/>
                <w:i/>
                <w:color w:val="auto"/>
                <w:szCs w:val="24"/>
                <w:lang w:val="pt-BR" w:eastAsia="en-US"/>
              </w:rPr>
            </m:ctrlPr>
          </m:fPr>
          <m:num>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b</m:t>
                </m:r>
              </m:e>
              <m:sup>
                <m:r>
                  <w:rPr>
                    <w:rFonts w:ascii="Cambria Math" w:eastAsia="Calibri" w:hAnsi="Cambria Math"/>
                    <w:color w:val="auto"/>
                    <w:szCs w:val="24"/>
                    <w:lang w:val="pt-BR" w:eastAsia="en-US"/>
                  </w:rPr>
                  <m:t>*</m:t>
                </m:r>
              </m:sup>
            </m:sSup>
          </m:num>
          <m:den>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a</m:t>
                </m:r>
              </m:e>
              <m:sup>
                <m:r>
                  <w:rPr>
                    <w:rFonts w:ascii="Cambria Math" w:eastAsia="Calibri" w:hAnsi="Cambria Math"/>
                    <w:color w:val="auto"/>
                    <w:szCs w:val="24"/>
                    <w:lang w:val="pt-BR" w:eastAsia="en-US"/>
                  </w:rPr>
                  <m:t>*</m:t>
                </m:r>
              </m:sup>
            </m:sSup>
          </m:den>
        </m:f>
        <m:r>
          <w:rPr>
            <w:rFonts w:ascii="Cambria Math" w:eastAsia="Calibri" w:hAnsi="Cambria Math"/>
            <w:color w:val="auto"/>
            <w:szCs w:val="24"/>
            <w:lang w:val="pt-BR" w:eastAsia="en-US"/>
          </w:rPr>
          <m:t>)</m:t>
        </m:r>
      </m:oMath>
      <w:r w:rsidRPr="00545429">
        <w:rPr>
          <w:color w:val="auto"/>
          <w:szCs w:val="24"/>
          <w:lang w:val="pt-BR" w:eastAsia="en-US"/>
        </w:rPr>
        <w:t xml:space="preserve">; Se </w:t>
      </w:r>
      <w:r w:rsidRPr="00545429">
        <w:rPr>
          <w:rFonts w:eastAsia="Calibri"/>
          <w:color w:val="auto"/>
          <w:szCs w:val="24"/>
          <w:lang w:val="pt-BR" w:eastAsia="en-US"/>
        </w:rPr>
        <w:t xml:space="preserve">a*&lt;0 , b*&lt;0 </w:t>
      </w:r>
      <m:oMath>
        <m:r>
          <w:rPr>
            <w:rFonts w:ascii="Cambria Math" w:eastAsia="Calibri" w:hAnsi="Cambria Math"/>
            <w:color w:val="auto"/>
            <w:szCs w:val="24"/>
            <w:lang w:val="pt-BR" w:eastAsia="en-US"/>
          </w:rPr>
          <m:t>hᵒ=360+arctg(</m:t>
        </m:r>
        <m:f>
          <m:fPr>
            <m:ctrlPr>
              <w:rPr>
                <w:rFonts w:ascii="Cambria Math" w:eastAsia="Calibri" w:hAnsi="Cambria Math"/>
                <w:i/>
                <w:color w:val="auto"/>
                <w:szCs w:val="24"/>
                <w:lang w:val="pt-BR" w:eastAsia="en-US"/>
              </w:rPr>
            </m:ctrlPr>
          </m:fPr>
          <m:num>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b</m:t>
                </m:r>
              </m:e>
              <m:sup>
                <m:r>
                  <w:rPr>
                    <w:rFonts w:ascii="Cambria Math" w:eastAsia="Calibri" w:hAnsi="Cambria Math"/>
                    <w:color w:val="auto"/>
                    <w:szCs w:val="24"/>
                    <w:lang w:val="pt-BR" w:eastAsia="en-US"/>
                  </w:rPr>
                  <m:t>*</m:t>
                </m:r>
              </m:sup>
            </m:sSup>
          </m:num>
          <m:den>
            <m:sSup>
              <m:sSupPr>
                <m:ctrlPr>
                  <w:rPr>
                    <w:rFonts w:ascii="Cambria Math" w:eastAsia="Calibri" w:hAnsi="Cambria Math"/>
                    <w:i/>
                    <w:color w:val="auto"/>
                    <w:szCs w:val="24"/>
                    <w:lang w:val="pt-BR" w:eastAsia="en-US"/>
                  </w:rPr>
                </m:ctrlPr>
              </m:sSupPr>
              <m:e>
                <m:r>
                  <w:rPr>
                    <w:rFonts w:ascii="Cambria Math" w:eastAsia="Calibri" w:hAnsi="Cambria Math"/>
                    <w:color w:val="auto"/>
                    <w:szCs w:val="24"/>
                    <w:lang w:val="pt-BR" w:eastAsia="en-US"/>
                  </w:rPr>
                  <m:t>a</m:t>
                </m:r>
              </m:e>
              <m:sup>
                <m:r>
                  <w:rPr>
                    <w:rFonts w:ascii="Cambria Math" w:eastAsia="Calibri" w:hAnsi="Cambria Math"/>
                    <w:color w:val="auto"/>
                    <w:szCs w:val="24"/>
                    <w:lang w:val="pt-BR" w:eastAsia="en-US"/>
                  </w:rPr>
                  <m:t>*</m:t>
                </m:r>
              </m:sup>
            </m:sSup>
          </m:den>
        </m:f>
        <m:r>
          <w:rPr>
            <w:rFonts w:ascii="Cambria Math" w:eastAsia="Calibri" w:hAnsi="Cambria Math"/>
            <w:color w:val="auto"/>
            <w:szCs w:val="24"/>
            <w:lang w:val="pt-BR" w:eastAsia="en-US"/>
          </w:rPr>
          <m:t>)</m:t>
        </m:r>
      </m:oMath>
    </w:p>
    <w:p w14:paraId="0A2ECDD8" w14:textId="77777777" w:rsidR="00545429" w:rsidRPr="00545429" w:rsidRDefault="00545429" w:rsidP="00545429">
      <w:pPr>
        <w:spacing w:after="200" w:line="360" w:lineRule="auto"/>
        <w:ind w:right="0"/>
        <w:contextualSpacing/>
        <w:rPr>
          <w:rFonts w:eastAsia="Calibri"/>
          <w:color w:val="auto"/>
          <w:szCs w:val="24"/>
          <w:lang w:val="pt-BR" w:eastAsia="en-US"/>
        </w:rPr>
      </w:pPr>
    </w:p>
    <w:p w14:paraId="409B82C7" w14:textId="64F32E2F" w:rsidR="00545429" w:rsidRPr="003F49B4" w:rsidRDefault="008474A4" w:rsidP="003F49B4">
      <w:pPr>
        <w:pStyle w:val="Cabealho3"/>
        <w:rPr>
          <w:rFonts w:ascii="Times New Roman" w:eastAsia="Calibri" w:hAnsi="Times New Roman" w:cs="Times New Roman"/>
          <w:color w:val="auto"/>
          <w:lang w:val="pt-BR" w:eastAsia="en-US"/>
        </w:rPr>
      </w:pPr>
      <w:bookmarkStart w:id="246" w:name="_Toc479154841"/>
      <w:r>
        <w:rPr>
          <w:rFonts w:ascii="Times New Roman" w:eastAsia="Calibri" w:hAnsi="Times New Roman" w:cs="Times New Roman"/>
          <w:color w:val="auto"/>
          <w:lang w:val="pt-BR" w:eastAsia="en-US"/>
        </w:rPr>
        <w:t>2.</w:t>
      </w:r>
      <w:r w:rsidR="00545429" w:rsidRPr="003F49B4">
        <w:rPr>
          <w:rFonts w:ascii="Times New Roman" w:eastAsia="Calibri" w:hAnsi="Times New Roman" w:cs="Times New Roman"/>
          <w:color w:val="auto"/>
          <w:lang w:val="pt-BR" w:eastAsia="en-US"/>
        </w:rPr>
        <w:t>2.</w:t>
      </w:r>
      <w:r w:rsidR="00570002">
        <w:rPr>
          <w:rFonts w:ascii="Times New Roman" w:eastAsia="Calibri" w:hAnsi="Times New Roman" w:cs="Times New Roman"/>
          <w:color w:val="auto"/>
          <w:lang w:val="pt-BR" w:eastAsia="en-US"/>
        </w:rPr>
        <w:t>3.</w:t>
      </w:r>
      <w:r w:rsidR="00545429" w:rsidRPr="003F49B4">
        <w:rPr>
          <w:rFonts w:ascii="Times New Roman" w:eastAsia="Calibri" w:hAnsi="Times New Roman" w:cs="Times New Roman"/>
          <w:color w:val="auto"/>
          <w:lang w:val="pt-BR" w:eastAsia="en-US"/>
        </w:rPr>
        <w:t xml:space="preserve"> Firmeza</w:t>
      </w:r>
      <w:bookmarkEnd w:id="246"/>
    </w:p>
    <w:p w14:paraId="28F4E5AF" w14:textId="77777777" w:rsidR="00545429" w:rsidRPr="00545429" w:rsidRDefault="00545429" w:rsidP="00545429">
      <w:pPr>
        <w:rPr>
          <w:rFonts w:eastAsia="Calibri"/>
          <w:lang w:val="pt-BR" w:eastAsia="en-US"/>
        </w:rPr>
      </w:pPr>
    </w:p>
    <w:p w14:paraId="561C38CC" w14:textId="005F3BFF"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A firmeza é uma característica mecânica importante no que diz respeito à qualidade da fruta </w:t>
      </w:r>
      <w:r w:rsidRPr="00545429">
        <w:rPr>
          <w:rFonts w:eastAsia="Calibri"/>
          <w:color w:val="auto"/>
          <w:szCs w:val="24"/>
          <w:lang w:val="pt-BR" w:eastAsia="en-US"/>
        </w:rPr>
        <w:fldChar w:fldCharType="begin" w:fldLock="1"/>
      </w:r>
      <w:r w:rsidR="002638F7">
        <w:rPr>
          <w:rFonts w:eastAsia="Calibri"/>
          <w:color w:val="auto"/>
          <w:szCs w:val="24"/>
          <w:lang w:val="pt-BR" w:eastAsia="en-US"/>
        </w:rPr>
        <w:instrText>ADDIN CSL_CITATION { "citationItems" : [ { "id" : "ITEM-1", "itemData" : { "author" : [ { "dropping-particle" : "", "family" : "DeEll", "given" : "J. R.", "non-dropping-particle" : "", "parse-names" : false, "suffix" : "" }, { "dropping-particle" : "", "family" : "Khanizadeh", "given" : "S.", "non-dropping-particle" : "", "parse-names" : false, "suffix" : "" }, { "dropping-particle" : "", "family" : "Saad", "given" : "F.", "non-dropping-particle" : "", "parse-names" : false, "suffix" : "" }, { "dropping-particle" : "", "family" : "Ferree", "given" : "D. C.", "non-dropping-particle" : "", "parse-names" : false, "suffix" : "" } ], "container-title" : "Journal-American Pomological Society,", "id" : "ITEM-1", "issue" : "August", "issued" : { "date-parts" : [ [ "2001" ] ] }, "page" : "8-26.", "title" : "Factors affecting apple fruit firmness-a review.", "type" : "article-journal", "volume" : "55," }, "uris" : [ "http://www.mendeley.com/documents/?uuid=58e50900-5140-4333-b36d-d1a504b74230" ] } ], "mendeley" : { "formattedCitation" : "(DeEll, Khanizadeh, Saad, &amp; Ferree, 2001)", "manualFormatting" : "(DeEll, et al., 2001)", "plainTextFormattedCitation" : "(DeEll, Khanizadeh, Saad, &amp; Ferree, 2001)", "previouslyFormattedCitation" : "(DeEll, Khanizadeh, Saad, &amp; Ferree, 2001)" }, "properties" : { "noteIndex" : 0 }, "schema" : "https://github.com/citation-style-language/schema/raw/master/csl-citation.json" }</w:instrText>
      </w:r>
      <w:r w:rsidRPr="00545429">
        <w:rPr>
          <w:rFonts w:eastAsia="Calibri"/>
          <w:color w:val="auto"/>
          <w:szCs w:val="24"/>
          <w:lang w:val="pt-BR" w:eastAsia="en-US"/>
        </w:rPr>
        <w:fldChar w:fldCharType="separate"/>
      </w:r>
      <w:r w:rsidRPr="00545429">
        <w:rPr>
          <w:rFonts w:eastAsia="Calibri"/>
          <w:noProof/>
          <w:color w:val="auto"/>
          <w:szCs w:val="24"/>
          <w:lang w:val="pt-BR" w:eastAsia="en-US"/>
        </w:rPr>
        <w:t>(D</w:t>
      </w:r>
      <w:r w:rsidR="002638F7">
        <w:rPr>
          <w:rFonts w:eastAsia="Calibri"/>
          <w:noProof/>
          <w:color w:val="auto"/>
          <w:szCs w:val="24"/>
          <w:lang w:val="pt-BR" w:eastAsia="en-US"/>
        </w:rPr>
        <w:t>eEll, et al.</w:t>
      </w:r>
      <w:r w:rsidRPr="00545429">
        <w:rPr>
          <w:rFonts w:eastAsia="Calibri"/>
          <w:noProof/>
          <w:color w:val="auto"/>
          <w:szCs w:val="24"/>
          <w:lang w:val="pt-BR" w:eastAsia="en-US"/>
        </w:rPr>
        <w:t>, 2001)</w:t>
      </w:r>
      <w:r w:rsidRPr="00545429">
        <w:rPr>
          <w:rFonts w:eastAsia="Calibri"/>
          <w:color w:val="auto"/>
          <w:szCs w:val="24"/>
          <w:lang w:val="pt-BR" w:eastAsia="en-US"/>
        </w:rPr>
        <w:fldChar w:fldCharType="end"/>
      </w:r>
      <w:r w:rsidRPr="00545429">
        <w:rPr>
          <w:rFonts w:eastAsia="Calibri"/>
          <w:color w:val="auto"/>
          <w:szCs w:val="24"/>
          <w:lang w:val="pt-BR" w:eastAsia="en-US"/>
        </w:rPr>
        <w:t xml:space="preserve">, pois permite-nos determinar a sua consistência, dureza e resistência com base na força que é necessária para que haja a sua ruptura (Guerreiro,2012). Assim, permite-nos avaliar o momento ideal da colheita do fruto, a qualidade durante o armazenamento, o efeito da conservação a frio e o estado de maturação para posterior processamento industrial </w:t>
      </w:r>
      <w:r w:rsidRPr="00545429">
        <w:rPr>
          <w:rFonts w:eastAsia="Calibri"/>
          <w:color w:val="auto"/>
          <w:szCs w:val="24"/>
          <w:lang w:val="pt-BR" w:eastAsia="en-US"/>
        </w:rPr>
        <w:fldChar w:fldCharType="begin" w:fldLock="1"/>
      </w:r>
      <w:r w:rsidR="008F2CE5">
        <w:rPr>
          <w:rFonts w:eastAsia="Calibri"/>
          <w:color w:val="auto"/>
          <w:szCs w:val="24"/>
          <w:lang w:val="pt-BR" w:eastAsia="en-US"/>
        </w:rPr>
        <w:instrText>ADDIN CSL_CITATION { "citationItems" : [ { "id" : "ITEM-1", "itemData" : { "author" : [ { "dropping-particle" : "", "family" : "Alves", "given" : "Jos\u00e9", "non-dropping-particle" : "", "parse-names" : false, "suffix" : "" } ], "id" : "ITEM-1", "issued" : { "date-parts" : [ [ "2011" ] ] }, "number-of-pages" : "110 pp", "publisher" : "Universidade t\u00e9cnica de Lisboa", "title" : "Perspectivas de utiliza\u00e7\u00e3o da figueira-da-\u00edndia no Alentejo : caracteriza\u00e7\u00e3o de Opuntia sp . no Litoral Alentejano e na Tapada da Ajuda e estudo da instala\u00e7\u00e3o de um pomar", "type" : "thesis" }, "uris" : [ "http://www.mendeley.com/documents/?uuid=1f6dc871-021e-4451-906a-8e4f02b75012" ] } ], "mendeley" : { "formattedCitation" : "(J. Alves, 2011)", "manualFormatting" : "( Alves, 2011)", "plainTextFormattedCitation" : "(J. Alves, 2011)", "previouslyFormattedCitation" : "(J. Alves, 2011)" }, "properties" : { "noteIndex" : 0 }, "schema" : "https://github.com/citation-style-language/schema/raw/master/csl-citation.json" }</w:instrText>
      </w:r>
      <w:r w:rsidRPr="00545429">
        <w:rPr>
          <w:rFonts w:eastAsia="Calibri"/>
          <w:color w:val="auto"/>
          <w:szCs w:val="24"/>
          <w:lang w:val="pt-BR" w:eastAsia="en-US"/>
        </w:rPr>
        <w:fldChar w:fldCharType="separate"/>
      </w:r>
      <w:r w:rsidRPr="00545429">
        <w:rPr>
          <w:rFonts w:eastAsia="Calibri"/>
          <w:noProof/>
          <w:color w:val="auto"/>
          <w:szCs w:val="24"/>
          <w:lang w:val="pt-BR" w:eastAsia="en-US"/>
        </w:rPr>
        <w:t>( Alves, 2011)</w:t>
      </w:r>
      <w:r w:rsidRPr="00545429">
        <w:rPr>
          <w:rFonts w:eastAsia="Calibri"/>
          <w:color w:val="auto"/>
          <w:szCs w:val="24"/>
          <w:lang w:val="pt-BR" w:eastAsia="en-US"/>
        </w:rPr>
        <w:fldChar w:fldCharType="end"/>
      </w:r>
      <w:r w:rsidRPr="00545429">
        <w:rPr>
          <w:rFonts w:eastAsia="Calibri"/>
          <w:color w:val="auto"/>
          <w:szCs w:val="24"/>
          <w:lang w:val="pt-BR" w:eastAsia="en-US"/>
        </w:rPr>
        <w:t>.</w:t>
      </w:r>
    </w:p>
    <w:p w14:paraId="13BBDC3A" w14:textId="4D7D0143" w:rsid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Nos mesmo 30 frutos (3 </w:t>
      </w:r>
      <w:r w:rsidR="003B06E3">
        <w:rPr>
          <w:rFonts w:eastAsia="Calibri"/>
          <w:color w:val="auto"/>
          <w:szCs w:val="24"/>
          <w:lang w:val="pt-BR" w:eastAsia="en-US"/>
        </w:rPr>
        <w:t xml:space="preserve">repetições com </w:t>
      </w:r>
      <w:r w:rsidRPr="00545429">
        <w:rPr>
          <w:rFonts w:eastAsia="Calibri"/>
          <w:color w:val="auto"/>
          <w:szCs w:val="24"/>
          <w:lang w:val="pt-BR" w:eastAsia="en-US"/>
        </w:rPr>
        <w:t>10 frutos</w:t>
      </w:r>
      <w:r w:rsidR="003B06E3">
        <w:rPr>
          <w:rFonts w:eastAsia="Calibri"/>
          <w:color w:val="auto"/>
          <w:szCs w:val="24"/>
          <w:lang w:val="pt-BR" w:eastAsia="en-US"/>
        </w:rPr>
        <w:t>/repetição</w:t>
      </w:r>
      <w:r w:rsidRPr="00545429">
        <w:rPr>
          <w:rFonts w:eastAsia="Calibri"/>
          <w:color w:val="auto"/>
          <w:szCs w:val="24"/>
          <w:lang w:val="pt-BR" w:eastAsia="en-US"/>
        </w:rPr>
        <w:t>) utilizados no ponto anterior mediu-se a firmeza na zona equatorial do fruto usando um  penetrómetro Chatillon Force TCD 200 e Digital Force Gauge DFIS 50 (Jonh Chatillon &amp; Sons, Inc., Largo, FL, USA.), com êmbolo de 11</w:t>
      </w:r>
      <w:r w:rsidR="005E3819">
        <w:rPr>
          <w:rFonts w:eastAsia="Calibri"/>
          <w:color w:val="auto"/>
          <w:szCs w:val="24"/>
          <w:lang w:val="pt-BR" w:eastAsia="en-US"/>
        </w:rPr>
        <w:t xml:space="preserve"> </w:t>
      </w:r>
      <w:r w:rsidRPr="00545429">
        <w:rPr>
          <w:rFonts w:eastAsia="Calibri"/>
          <w:color w:val="auto"/>
          <w:szCs w:val="24"/>
          <w:lang w:val="pt-BR" w:eastAsia="en-US"/>
        </w:rPr>
        <w:t>mm de diâmetro, e até à profundidade de 7 mm,  os  resultados são apresentados em Newton (N).</w:t>
      </w:r>
      <w:r w:rsidR="00223DCC">
        <w:rPr>
          <w:rFonts w:eastAsia="Calibri"/>
          <w:color w:val="auto"/>
          <w:szCs w:val="24"/>
          <w:lang w:val="pt-BR" w:eastAsia="en-US"/>
        </w:rPr>
        <w:t xml:space="preserve"> Num dos lados do fruto foi medida a </w:t>
      </w:r>
      <w:r w:rsidR="00223DCC">
        <w:rPr>
          <w:rFonts w:eastAsia="Calibri"/>
          <w:color w:val="auto"/>
          <w:szCs w:val="24"/>
          <w:lang w:val="pt-BR" w:eastAsia="en-US"/>
        </w:rPr>
        <w:lastRenderedPageBreak/>
        <w:t>firmeza sem ser retirada a casca do fruto, no lado oposto retirou-se a casca e determinou-se a firmeza da polpa.</w:t>
      </w:r>
    </w:p>
    <w:p w14:paraId="28FC690D" w14:textId="77777777" w:rsidR="00F23D90" w:rsidRPr="00545429" w:rsidRDefault="00F23D90" w:rsidP="00545429">
      <w:pPr>
        <w:spacing w:after="200" w:line="360" w:lineRule="auto"/>
        <w:ind w:left="0" w:right="0" w:firstLine="0"/>
        <w:rPr>
          <w:rFonts w:eastAsia="Calibri"/>
          <w:color w:val="auto"/>
          <w:szCs w:val="24"/>
          <w:lang w:val="pt-BR" w:eastAsia="en-US"/>
        </w:rPr>
      </w:pPr>
    </w:p>
    <w:p w14:paraId="7656D23D" w14:textId="7B0BA8C3" w:rsidR="00545429" w:rsidRPr="003F49B4" w:rsidRDefault="00545429" w:rsidP="003F49B4">
      <w:pPr>
        <w:pStyle w:val="Cabealho3"/>
        <w:rPr>
          <w:rFonts w:ascii="Times New Roman" w:eastAsia="Calibri" w:hAnsi="Times New Roman" w:cs="Times New Roman"/>
          <w:color w:val="auto"/>
          <w:lang w:val="pt-BR" w:eastAsia="en-US"/>
        </w:rPr>
      </w:pPr>
      <w:bookmarkStart w:id="247" w:name="_Toc479154842"/>
      <w:r w:rsidRPr="003F49B4">
        <w:rPr>
          <w:rFonts w:ascii="Times New Roman" w:eastAsia="Calibri" w:hAnsi="Times New Roman" w:cs="Times New Roman"/>
          <w:color w:val="auto"/>
          <w:lang w:val="pt-BR" w:eastAsia="en-US"/>
        </w:rPr>
        <w:t>2.</w:t>
      </w:r>
      <w:r w:rsidR="00570002">
        <w:rPr>
          <w:rFonts w:ascii="Times New Roman" w:eastAsia="Calibri" w:hAnsi="Times New Roman" w:cs="Times New Roman"/>
          <w:color w:val="auto"/>
          <w:lang w:val="pt-BR" w:eastAsia="en-US"/>
        </w:rPr>
        <w:t>2</w:t>
      </w:r>
      <w:r w:rsidRPr="003F49B4">
        <w:rPr>
          <w:rFonts w:ascii="Times New Roman" w:eastAsia="Calibri" w:hAnsi="Times New Roman" w:cs="Times New Roman"/>
          <w:color w:val="auto"/>
          <w:lang w:val="pt-BR" w:eastAsia="en-US"/>
        </w:rPr>
        <w:t>.</w:t>
      </w:r>
      <w:r w:rsidR="00570002">
        <w:rPr>
          <w:rFonts w:ascii="Times New Roman" w:eastAsia="Calibri" w:hAnsi="Times New Roman" w:cs="Times New Roman"/>
          <w:color w:val="auto"/>
          <w:lang w:val="pt-BR" w:eastAsia="en-US"/>
        </w:rPr>
        <w:t>4</w:t>
      </w:r>
      <w:r w:rsidR="00570002" w:rsidRPr="003F49B4">
        <w:rPr>
          <w:rFonts w:ascii="Times New Roman" w:eastAsia="Calibri" w:hAnsi="Times New Roman" w:cs="Times New Roman"/>
          <w:color w:val="auto"/>
          <w:lang w:val="pt-BR" w:eastAsia="en-US"/>
        </w:rPr>
        <w:t xml:space="preserve"> </w:t>
      </w:r>
      <w:r w:rsidRPr="003F49B4">
        <w:rPr>
          <w:rFonts w:ascii="Times New Roman" w:eastAsia="Calibri" w:hAnsi="Times New Roman" w:cs="Times New Roman"/>
          <w:color w:val="auto"/>
          <w:lang w:val="pt-BR" w:eastAsia="en-US"/>
        </w:rPr>
        <w:t>Teor de sólidos solúveis (ºBrix)</w:t>
      </w:r>
      <w:bookmarkEnd w:id="247"/>
    </w:p>
    <w:p w14:paraId="7BCC690A" w14:textId="77777777" w:rsidR="00545429" w:rsidRPr="00545429" w:rsidRDefault="00545429" w:rsidP="00545429">
      <w:pPr>
        <w:rPr>
          <w:rFonts w:eastAsia="Calibri"/>
          <w:lang w:val="pt-BR" w:eastAsia="en-US"/>
        </w:rPr>
      </w:pPr>
    </w:p>
    <w:p w14:paraId="6BE6A0A3" w14:textId="3BA8D0BB"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A </w:t>
      </w:r>
      <w:r w:rsidR="005A7934">
        <w:rPr>
          <w:rFonts w:eastAsia="Calibri"/>
          <w:color w:val="auto"/>
          <w:szCs w:val="24"/>
          <w:lang w:val="pt-BR" w:eastAsia="en-US"/>
        </w:rPr>
        <w:t>escala usada para indicar</w:t>
      </w:r>
      <w:r w:rsidRPr="00545429">
        <w:rPr>
          <w:rFonts w:eastAsia="Calibri"/>
          <w:color w:val="auto"/>
          <w:szCs w:val="24"/>
          <w:lang w:val="pt-BR" w:eastAsia="en-US"/>
        </w:rPr>
        <w:t xml:space="preserve"> as concentrações de açúcar é o </w:t>
      </w:r>
      <w:r w:rsidR="00223DCC">
        <w:rPr>
          <w:rFonts w:eastAsia="Calibri"/>
          <w:color w:val="auto"/>
          <w:szCs w:val="24"/>
          <w:lang w:val="pt-BR" w:eastAsia="en-US"/>
        </w:rPr>
        <w:t>ºB</w:t>
      </w:r>
      <w:r w:rsidRPr="00545429">
        <w:rPr>
          <w:rFonts w:eastAsia="Calibri"/>
          <w:color w:val="auto"/>
          <w:szCs w:val="24"/>
          <w:lang w:val="pt-BR" w:eastAsia="en-US"/>
        </w:rPr>
        <w:t xml:space="preserve">rix, ou seja, conseguimos determinar a quantidade de sólidos totais numa solução de sacarose </w:t>
      </w:r>
      <w:r w:rsidRPr="00545429">
        <w:rPr>
          <w:rFonts w:eastAsia="Calibri"/>
          <w:color w:val="auto"/>
          <w:szCs w:val="24"/>
          <w:lang w:val="pt-BR" w:eastAsia="en-US"/>
        </w:rPr>
        <w:fldChar w:fldCharType="begin" w:fldLock="1"/>
      </w:r>
      <w:r w:rsidRPr="00545429">
        <w:rPr>
          <w:rFonts w:eastAsia="Calibri"/>
          <w:color w:val="auto"/>
          <w:szCs w:val="24"/>
          <w:lang w:val="pt-BR" w:eastAsia="en-US"/>
        </w:rPr>
        <w:instrText>ADDIN CSL_CITATION { "citationItems" : [ { "id" : "ITEM-1", "itemData" : { "DOI" : "10.1021/ed083p1489", "author" : [ { "dropping-particle" : "", "family" : "Ball", "given" : "David W.", "non-dropping-particle" : "", "parse-names" : false, "suffix" : "" } ], "container-title" : "Journal of chemical education", "id" : "ITEM-1", "issued" : { "date-parts" : [ [ "2006" ] ] }, "page" : "1496", "title" : "Concentration scales for sugar solutions", "type" : "article-journal", "volume" : "83" }, "uris" : [ "http://www.mendeley.com/documents/?uuid=85f6082c-58b3-45d8-8af0-04e6e0486698" ] } ], "mendeley" : { "formattedCitation" : "(Ball, 2006)", "plainTextFormattedCitation" : "(Ball, 2006)", "previouslyFormattedCitation" : "(Ball, 2006)" }, "properties" : { "noteIndex" : 0 }, "schema" : "https://github.com/citation-style-language/schema/raw/master/csl-citation.json" }</w:instrText>
      </w:r>
      <w:r w:rsidRPr="00545429">
        <w:rPr>
          <w:rFonts w:eastAsia="Calibri"/>
          <w:color w:val="auto"/>
          <w:szCs w:val="24"/>
          <w:lang w:val="pt-BR" w:eastAsia="en-US"/>
        </w:rPr>
        <w:fldChar w:fldCharType="separate"/>
      </w:r>
      <w:r w:rsidRPr="00545429">
        <w:rPr>
          <w:rFonts w:eastAsia="Calibri"/>
          <w:noProof/>
          <w:color w:val="auto"/>
          <w:szCs w:val="24"/>
          <w:lang w:val="pt-BR" w:eastAsia="en-US"/>
        </w:rPr>
        <w:t>(Ball, 2006)</w:t>
      </w:r>
      <w:r w:rsidRPr="00545429">
        <w:rPr>
          <w:rFonts w:eastAsia="Calibri"/>
          <w:color w:val="auto"/>
          <w:szCs w:val="24"/>
          <w:lang w:val="pt-BR" w:eastAsia="en-US"/>
        </w:rPr>
        <w:fldChar w:fldCharType="end"/>
      </w:r>
      <w:r w:rsidRPr="00545429">
        <w:rPr>
          <w:rFonts w:eastAsia="Calibri"/>
          <w:color w:val="auto"/>
          <w:szCs w:val="24"/>
          <w:lang w:val="pt-BR" w:eastAsia="en-US"/>
        </w:rPr>
        <w:t>.</w:t>
      </w:r>
    </w:p>
    <w:p w14:paraId="5FE3ACF7" w14:textId="043EA243"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Para a determinação do teor de sólidos solúveis pesaram-se 10</w:t>
      </w:r>
      <w:r w:rsidR="005E3819">
        <w:rPr>
          <w:rFonts w:eastAsia="Calibri"/>
          <w:color w:val="auto"/>
          <w:szCs w:val="24"/>
          <w:lang w:val="pt-BR" w:eastAsia="en-US"/>
        </w:rPr>
        <w:t xml:space="preserve"> </w:t>
      </w:r>
      <w:r w:rsidRPr="00545429">
        <w:rPr>
          <w:rFonts w:eastAsia="Calibri"/>
          <w:color w:val="auto"/>
          <w:szCs w:val="24"/>
          <w:lang w:val="pt-BR" w:eastAsia="en-US"/>
        </w:rPr>
        <w:t>g de polpa de fruto adicionou-se o mesmo peso de água destilada. Em seguida a mistura foi triturada num</w:t>
      </w:r>
      <w:r>
        <w:rPr>
          <w:rFonts w:eastAsia="Calibri"/>
          <w:color w:val="auto"/>
          <w:szCs w:val="24"/>
          <w:lang w:val="pt-BR" w:eastAsia="en-US"/>
        </w:rPr>
        <w:t xml:space="preserve"> </w:t>
      </w:r>
      <w:r w:rsidRPr="00545429">
        <w:rPr>
          <w:rFonts w:eastAsia="Calibri"/>
          <w:color w:val="auto"/>
          <w:szCs w:val="24"/>
          <w:lang w:val="pt-BR" w:eastAsia="en-US"/>
        </w:rPr>
        <w:t xml:space="preserve">Ultra Turrax </w:t>
      </w:r>
      <w:r w:rsidRPr="00545429">
        <w:rPr>
          <w:color w:val="auto"/>
          <w:szCs w:val="24"/>
          <w:lang w:val="pt-BR"/>
        </w:rPr>
        <w:t xml:space="preserve">T18 (IKA, Starfen, Germany). Posteriormente centrifugou-se a mistura obtida </w:t>
      </w:r>
      <w:r w:rsidRPr="00545429">
        <w:rPr>
          <w:rFonts w:eastAsia="Calibri"/>
          <w:color w:val="auto"/>
          <w:szCs w:val="24"/>
          <w:lang w:val="pt-BR" w:eastAsia="en-US"/>
        </w:rPr>
        <w:t>durante 5 min a 5000 rpm (Hettich-Universal 320)</w:t>
      </w:r>
      <w:r w:rsidRPr="00545429">
        <w:rPr>
          <w:color w:val="auto"/>
          <w:szCs w:val="24"/>
          <w:lang w:val="pt-BR"/>
        </w:rPr>
        <w:t xml:space="preserve">. </w:t>
      </w:r>
      <w:r w:rsidRPr="00545429">
        <w:rPr>
          <w:rFonts w:eastAsia="Calibri"/>
          <w:color w:val="auto"/>
          <w:szCs w:val="24"/>
          <w:lang w:val="pt-BR" w:eastAsia="en-US"/>
        </w:rPr>
        <w:t xml:space="preserve">Algumas gotas da solução sobrenadante foram colocadas no refractómetro digital (Modelo PR-100, Atago Co., Tokyo, Japan) e foi feita uma leitura directa do teor de sólidos solúveis totais </w:t>
      </w:r>
      <w:r w:rsidRPr="00545429">
        <w:rPr>
          <w:rFonts w:eastAsia="Calibri"/>
          <w:color w:val="auto"/>
          <w:szCs w:val="24"/>
          <w:lang w:val="pt-BR" w:eastAsia="en-US"/>
        </w:rPr>
        <w:fldChar w:fldCharType="begin" w:fldLock="1"/>
      </w:r>
      <w:r w:rsidR="00D73AD0">
        <w:rPr>
          <w:rFonts w:eastAsia="Calibri"/>
          <w:color w:val="auto"/>
          <w:szCs w:val="24"/>
          <w:lang w:val="pt-BR" w:eastAsia="en-US"/>
        </w:rPr>
        <w:instrText>ADDIN CSL_CITATION { "citationItems" : [ { "id" : "ITEM-1", "itemData" : { "author" : [ { "dropping-particle" : "", "family" : "Valsechi", "given" : "Octavio", "non-dropping-particle" : "", "parse-names" : false, "suffix" : "" }, { "dropping-particle" : "", "family" : "Mitidieri", "given" : "Jos\u00e9", "non-dropping-particle" : "", "parse-names" : false, "suffix" : "" } ], "container-title" : "Anais da E. S. A. 'Luiz de Queiroz'", "id" : "ITEM-1", "issue" : "September", "issued" : { "date-parts" : [ [ "2007" ] ] }, "page" : "86-92", "title" : "O brix na determina\u00e7\u00e3o da riqueza em a\u00e7ucares do mam\u00e3o como auxiliar no melhoramento do mamoeiro (carica papaya L.)", "type" : "article-journal" }, "uris" : [ "http://www.mendeley.com/documents/?uuid=a2fd0c10-4c50-4f07-9ec5-a57dc318ac95" ] }, { "id" : "ITEM-2", "itemData" : { "URL" : "http://motherhood.modernmom.com/prickly-pear-ripe-13060.html", "accessed" : { "date-parts" : [ [ "2015", "8", "27" ] ] }, "author" : [ { "dropping-particle" : "Van", "family" : "Hooser", "given" : "Tamara Christine", "non-dropping-particle" : "", "parse-names" : false, "suffix" : "" } ], "id" : "ITEM-2", "issued" : { "date-parts" : [ [ "2005" ] ] }, "title" : "How to Know When a Prickly Pear Is Ripe?", "type" : "webpage" }, "uris" : [ "http://www.mendeley.com/documents/?uuid=fbf5d978-6c0a-490d-a052-10ce77500ccc" ] } ], "mendeley" : { "formattedCitation" : "(Hooser, 2005; Valsechi &amp; Mitidieri, 2007)", "plainTextFormattedCitation" : "(Hooser, 2005; Valsechi &amp; Mitidieri, 2007)", "previouslyFormattedCitation" : "(Hooser, 2005; Valsechi &amp; Mitidieri, 2007)" }, "properties" : { "noteIndex" : 0 }, "schema" : "https://github.com/citation-style-language/schema/raw/master/csl-citation.json" }</w:instrText>
      </w:r>
      <w:r w:rsidRPr="00545429">
        <w:rPr>
          <w:rFonts w:eastAsia="Calibri"/>
          <w:color w:val="auto"/>
          <w:szCs w:val="24"/>
          <w:lang w:val="pt-BR" w:eastAsia="en-US"/>
        </w:rPr>
        <w:fldChar w:fldCharType="separate"/>
      </w:r>
      <w:r w:rsidR="00476330" w:rsidRPr="00476330">
        <w:rPr>
          <w:rFonts w:eastAsia="Calibri"/>
          <w:noProof/>
          <w:color w:val="auto"/>
          <w:szCs w:val="24"/>
          <w:lang w:val="pt-BR" w:eastAsia="en-US"/>
        </w:rPr>
        <w:t>(Hooser, 2005; Valsechi &amp; Mitidieri, 2007)</w:t>
      </w:r>
      <w:r w:rsidRPr="00545429">
        <w:rPr>
          <w:rFonts w:eastAsia="Calibri"/>
          <w:color w:val="auto"/>
          <w:szCs w:val="24"/>
          <w:lang w:val="pt-BR" w:eastAsia="en-US"/>
        </w:rPr>
        <w:fldChar w:fldCharType="end"/>
      </w:r>
      <w:r w:rsidR="00476330">
        <w:rPr>
          <w:rFonts w:eastAsia="Calibri"/>
          <w:color w:val="auto"/>
          <w:szCs w:val="24"/>
          <w:lang w:val="pt-BR" w:eastAsia="en-US"/>
        </w:rPr>
        <w:t>.</w:t>
      </w:r>
    </w:p>
    <w:p w14:paraId="3C6F6230" w14:textId="77777777" w:rsidR="00545429" w:rsidRPr="00545429" w:rsidRDefault="00545429" w:rsidP="00545429">
      <w:pPr>
        <w:spacing w:after="200" w:line="360" w:lineRule="auto"/>
        <w:ind w:left="0" w:right="0" w:firstLine="0"/>
        <w:rPr>
          <w:rFonts w:eastAsia="Calibri"/>
          <w:color w:val="auto"/>
          <w:szCs w:val="24"/>
          <w:lang w:val="pt-BR" w:eastAsia="en-US"/>
        </w:rPr>
      </w:pPr>
    </w:p>
    <w:p w14:paraId="181698D7" w14:textId="731B4042" w:rsidR="00545429" w:rsidRPr="003F49B4" w:rsidRDefault="00545429" w:rsidP="003F49B4">
      <w:pPr>
        <w:pStyle w:val="Cabealho3"/>
        <w:rPr>
          <w:rFonts w:ascii="Times New Roman" w:eastAsia="Calibri" w:hAnsi="Times New Roman" w:cs="Times New Roman"/>
          <w:color w:val="auto"/>
          <w:lang w:val="pt-BR" w:eastAsia="en-US"/>
        </w:rPr>
      </w:pPr>
      <w:bookmarkStart w:id="248" w:name="_Toc479154843"/>
      <w:r w:rsidRPr="003F49B4">
        <w:rPr>
          <w:rFonts w:ascii="Times New Roman" w:eastAsia="Calibri" w:hAnsi="Times New Roman" w:cs="Times New Roman"/>
          <w:color w:val="auto"/>
          <w:lang w:val="pt-BR" w:eastAsia="en-US"/>
        </w:rPr>
        <w:t>2.</w:t>
      </w:r>
      <w:r w:rsidR="00570002">
        <w:rPr>
          <w:rFonts w:ascii="Times New Roman" w:eastAsia="Calibri" w:hAnsi="Times New Roman" w:cs="Times New Roman"/>
          <w:color w:val="auto"/>
          <w:lang w:val="pt-BR" w:eastAsia="en-US"/>
        </w:rPr>
        <w:t>2</w:t>
      </w:r>
      <w:r w:rsidRPr="003F49B4">
        <w:rPr>
          <w:rFonts w:ascii="Times New Roman" w:eastAsia="Calibri" w:hAnsi="Times New Roman" w:cs="Times New Roman"/>
          <w:color w:val="auto"/>
          <w:lang w:val="pt-BR" w:eastAsia="en-US"/>
        </w:rPr>
        <w:t>.</w:t>
      </w:r>
      <w:r w:rsidR="00570002">
        <w:rPr>
          <w:rFonts w:ascii="Times New Roman" w:eastAsia="Calibri" w:hAnsi="Times New Roman" w:cs="Times New Roman"/>
          <w:color w:val="auto"/>
          <w:lang w:val="pt-BR" w:eastAsia="en-US"/>
        </w:rPr>
        <w:t>5</w:t>
      </w:r>
      <w:r w:rsidRPr="003F49B4">
        <w:rPr>
          <w:rFonts w:ascii="Times New Roman" w:eastAsia="Calibri" w:hAnsi="Times New Roman" w:cs="Times New Roman"/>
          <w:color w:val="auto"/>
          <w:lang w:val="pt-BR" w:eastAsia="en-US"/>
        </w:rPr>
        <w:t>. pH e acidez titulável</w:t>
      </w:r>
      <w:bookmarkEnd w:id="248"/>
    </w:p>
    <w:p w14:paraId="35F23BEF" w14:textId="77777777" w:rsidR="00545429" w:rsidRPr="00545429" w:rsidRDefault="00545429" w:rsidP="00545429">
      <w:pPr>
        <w:rPr>
          <w:rFonts w:eastAsia="Calibri"/>
          <w:lang w:val="pt-BR" w:eastAsia="en-US"/>
        </w:rPr>
      </w:pPr>
    </w:p>
    <w:p w14:paraId="28F212C6" w14:textId="77777777" w:rsid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Utilizando 10 ml do sumo obtido no ponto anterior, determinou-se o pH utilizando um potenciómetro, de seguida fez-se a titulação desse sumo utilizando uma solução de  NaOH (0.1 N) até  pH 8,2. A acidez titulável foi expressa em equivalentes de ácido cítrico (g/L) (Alves,2011).</w:t>
      </w:r>
    </w:p>
    <w:p w14:paraId="69C6EC53" w14:textId="77777777" w:rsidR="00F23D90" w:rsidRPr="00545429" w:rsidRDefault="00F23D90" w:rsidP="00545429">
      <w:pPr>
        <w:spacing w:after="200" w:line="360" w:lineRule="auto"/>
        <w:ind w:left="0" w:right="0" w:firstLine="0"/>
        <w:rPr>
          <w:rFonts w:eastAsia="Calibri"/>
          <w:color w:val="auto"/>
          <w:szCs w:val="24"/>
          <w:lang w:val="pt-BR" w:eastAsia="en-US"/>
        </w:rPr>
      </w:pPr>
    </w:p>
    <w:p w14:paraId="0F65276A" w14:textId="75D79432" w:rsidR="00545429" w:rsidRDefault="00545429" w:rsidP="002521DE">
      <w:pPr>
        <w:spacing w:after="200" w:line="360" w:lineRule="auto"/>
        <w:ind w:left="0" w:right="0" w:firstLine="0"/>
        <w:rPr>
          <w:rFonts w:eastAsia="Calibri"/>
          <w:color w:val="auto"/>
          <w:lang w:eastAsia="en-US"/>
        </w:rPr>
      </w:pPr>
      <w:bookmarkStart w:id="249" w:name="_Toc479154844"/>
      <w:r w:rsidRPr="003F49B4">
        <w:rPr>
          <w:rFonts w:eastAsia="Calibri"/>
          <w:color w:val="auto"/>
          <w:lang w:eastAsia="en-US"/>
        </w:rPr>
        <w:t>2.</w:t>
      </w:r>
      <w:r w:rsidR="00570002">
        <w:rPr>
          <w:rFonts w:eastAsia="Calibri"/>
          <w:color w:val="auto"/>
          <w:lang w:eastAsia="en-US"/>
        </w:rPr>
        <w:t>3</w:t>
      </w:r>
      <w:r w:rsidRPr="002521DE">
        <w:rPr>
          <w:rFonts w:eastAsia="Calibri"/>
          <w:color w:val="auto"/>
          <w:sz w:val="26"/>
          <w:szCs w:val="26"/>
          <w:lang w:eastAsia="en-US"/>
        </w:rPr>
        <w:t>. Preparação das amostras</w:t>
      </w:r>
      <w:r w:rsidR="002C6A62" w:rsidRPr="002521DE">
        <w:rPr>
          <w:rFonts w:eastAsia="Calibri"/>
          <w:color w:val="auto"/>
          <w:sz w:val="26"/>
          <w:szCs w:val="26"/>
          <w:lang w:eastAsia="en-US"/>
        </w:rPr>
        <w:t>,</w:t>
      </w:r>
      <w:r w:rsidRPr="002521DE">
        <w:rPr>
          <w:rFonts w:eastAsia="Calibri"/>
          <w:color w:val="auto"/>
          <w:sz w:val="26"/>
          <w:szCs w:val="26"/>
          <w:lang w:eastAsia="en-US"/>
        </w:rPr>
        <w:t xml:space="preserve"> </w:t>
      </w:r>
      <w:r w:rsidR="002C6A62" w:rsidRPr="002521DE">
        <w:rPr>
          <w:rFonts w:eastAsia="Calibri"/>
          <w:color w:val="auto"/>
          <w:sz w:val="26"/>
          <w:szCs w:val="26"/>
          <w:lang w:eastAsia="en-US"/>
        </w:rPr>
        <w:t>e</w:t>
      </w:r>
      <w:r w:rsidRPr="002521DE">
        <w:rPr>
          <w:rFonts w:eastAsia="Calibri"/>
          <w:color w:val="auto"/>
          <w:sz w:val="26"/>
          <w:szCs w:val="26"/>
          <w:lang w:eastAsia="en-US"/>
        </w:rPr>
        <w:t>xtração</w:t>
      </w:r>
      <w:r w:rsidR="00A33D62" w:rsidRPr="002521DE">
        <w:rPr>
          <w:rFonts w:eastAsia="Calibri"/>
          <w:color w:val="auto"/>
          <w:sz w:val="26"/>
          <w:szCs w:val="26"/>
          <w:lang w:eastAsia="en-US"/>
        </w:rPr>
        <w:t xml:space="preserve"> e q</w:t>
      </w:r>
      <w:r w:rsidR="00570002" w:rsidRPr="002521DE">
        <w:rPr>
          <w:rFonts w:eastAsia="Calibri"/>
          <w:color w:val="auto"/>
          <w:sz w:val="26"/>
          <w:szCs w:val="26"/>
          <w:lang w:eastAsia="en-US"/>
        </w:rPr>
        <w:t>uantificação</w:t>
      </w:r>
      <w:r w:rsidR="002521DE" w:rsidRPr="002521DE">
        <w:rPr>
          <w:rFonts w:eastAsia="Calibri"/>
          <w:color w:val="auto"/>
          <w:sz w:val="26"/>
          <w:szCs w:val="26"/>
          <w:lang w:eastAsia="en-US"/>
        </w:rPr>
        <w:t xml:space="preserve"> de parâmetros q</w:t>
      </w:r>
      <w:r w:rsidR="00A33D62" w:rsidRPr="002521DE">
        <w:rPr>
          <w:rFonts w:eastAsia="Calibri"/>
          <w:color w:val="auto"/>
          <w:sz w:val="26"/>
          <w:szCs w:val="26"/>
          <w:lang w:eastAsia="en-US"/>
        </w:rPr>
        <w:t>uímicos</w:t>
      </w:r>
      <w:bookmarkEnd w:id="249"/>
    </w:p>
    <w:p w14:paraId="36EF2291" w14:textId="77777777" w:rsidR="009010C6" w:rsidRDefault="009010C6" w:rsidP="00545429">
      <w:pPr>
        <w:spacing w:after="200" w:line="360" w:lineRule="auto"/>
        <w:ind w:left="0" w:right="0" w:firstLine="0"/>
        <w:rPr>
          <w:rFonts w:eastAsia="Calibri"/>
          <w:color w:val="auto"/>
          <w:szCs w:val="24"/>
          <w:lang w:eastAsia="en-US"/>
        </w:rPr>
      </w:pPr>
    </w:p>
    <w:p w14:paraId="272283FF" w14:textId="699F9C7C"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eastAsia="en-US"/>
        </w:rPr>
        <w:t>Dos figos-da-índia previamente congelados pes</w:t>
      </w:r>
      <w:r w:rsidR="009010C6">
        <w:rPr>
          <w:rFonts w:eastAsia="Calibri"/>
          <w:color w:val="auto"/>
          <w:szCs w:val="24"/>
          <w:lang w:eastAsia="en-US"/>
        </w:rPr>
        <w:t>aram</w:t>
      </w:r>
      <w:r w:rsidRPr="00545429">
        <w:rPr>
          <w:rFonts w:eastAsia="Calibri"/>
          <w:color w:val="auto"/>
          <w:szCs w:val="24"/>
          <w:lang w:eastAsia="en-US"/>
        </w:rPr>
        <w:t>-se 3</w:t>
      </w:r>
      <w:r w:rsidR="00A44C2B">
        <w:rPr>
          <w:rFonts w:eastAsia="Calibri"/>
          <w:color w:val="auto"/>
          <w:szCs w:val="24"/>
          <w:lang w:eastAsia="en-US"/>
        </w:rPr>
        <w:t xml:space="preserve"> </w:t>
      </w:r>
      <w:r w:rsidRPr="00545429">
        <w:rPr>
          <w:rFonts w:eastAsia="Calibri"/>
          <w:color w:val="auto"/>
          <w:szCs w:val="24"/>
          <w:lang w:eastAsia="en-US"/>
        </w:rPr>
        <w:t>g de amostra (polpa e casca, separadamente) adicionaram-se 10 ml de água destilada. Triturou-se num Ultra Turrax</w:t>
      </w:r>
      <w:r w:rsidRPr="00545429">
        <w:rPr>
          <w:color w:val="auto"/>
          <w:szCs w:val="24"/>
        </w:rPr>
        <w:t xml:space="preserve"> </w:t>
      </w:r>
      <w:r w:rsidRPr="00545429">
        <w:rPr>
          <w:color w:val="auto"/>
          <w:szCs w:val="24"/>
          <w:lang w:val="pt-BR"/>
        </w:rPr>
        <w:t xml:space="preserve">T18 (IKA, Starfen, Germany) </w:t>
      </w:r>
      <w:r w:rsidRPr="00545429">
        <w:rPr>
          <w:rFonts w:eastAsia="Calibri"/>
          <w:color w:val="auto"/>
          <w:szCs w:val="24"/>
          <w:lang w:val="pt-BR" w:eastAsia="en-US"/>
        </w:rPr>
        <w:t>até ficar com um aspeto homogéneo. Posteriormente as amostras foram centrifugadas durante 5 min a 5000 rpm (Hettich-Universal 320).</w:t>
      </w:r>
    </w:p>
    <w:p w14:paraId="771289EA" w14:textId="1B55233B" w:rsidR="005A7934"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lastRenderedPageBreak/>
        <w:t>Apenas o sobrenadante foi aproveitado e armazenado a -80ºC para as determinações seguintes.</w:t>
      </w:r>
    </w:p>
    <w:p w14:paraId="2C3540A3" w14:textId="77777777" w:rsidR="008474A4" w:rsidRPr="00545429" w:rsidRDefault="008474A4" w:rsidP="00545429">
      <w:pPr>
        <w:spacing w:after="200" w:line="360" w:lineRule="auto"/>
        <w:ind w:left="0" w:right="0" w:firstLine="0"/>
        <w:rPr>
          <w:rFonts w:eastAsia="Calibri"/>
          <w:color w:val="auto"/>
          <w:szCs w:val="24"/>
          <w:lang w:eastAsia="en-US"/>
        </w:rPr>
      </w:pPr>
    </w:p>
    <w:p w14:paraId="1D41D8E9" w14:textId="37AD375E" w:rsidR="00545429" w:rsidRPr="003F49B4" w:rsidRDefault="00545429" w:rsidP="003F49B4">
      <w:pPr>
        <w:pStyle w:val="Cabealho3"/>
        <w:rPr>
          <w:rFonts w:ascii="Times New Roman" w:eastAsia="Calibri" w:hAnsi="Times New Roman" w:cs="Times New Roman"/>
          <w:color w:val="auto"/>
          <w:lang w:eastAsia="en-US"/>
        </w:rPr>
      </w:pPr>
      <w:bookmarkStart w:id="250" w:name="_Toc479154845"/>
      <w:r w:rsidRPr="003F49B4">
        <w:rPr>
          <w:rFonts w:ascii="Times New Roman" w:eastAsia="Calibri" w:hAnsi="Times New Roman" w:cs="Times New Roman"/>
          <w:color w:val="auto"/>
          <w:lang w:eastAsia="en-US"/>
        </w:rPr>
        <w:t>2.</w:t>
      </w:r>
      <w:r w:rsidR="00570002">
        <w:rPr>
          <w:rFonts w:ascii="Times New Roman" w:eastAsia="Calibri" w:hAnsi="Times New Roman" w:cs="Times New Roman"/>
          <w:color w:val="auto"/>
          <w:lang w:eastAsia="en-US"/>
        </w:rPr>
        <w:t>3</w:t>
      </w:r>
      <w:r w:rsidRPr="003F49B4">
        <w:rPr>
          <w:rFonts w:ascii="Times New Roman" w:eastAsia="Calibri" w:hAnsi="Times New Roman" w:cs="Times New Roman"/>
          <w:color w:val="auto"/>
          <w:lang w:eastAsia="en-US"/>
        </w:rPr>
        <w:t>.1 Fenóis totais</w:t>
      </w:r>
      <w:bookmarkEnd w:id="250"/>
    </w:p>
    <w:p w14:paraId="022B22B6" w14:textId="77777777" w:rsidR="00545429" w:rsidRPr="00545429" w:rsidRDefault="00545429" w:rsidP="00545429">
      <w:pPr>
        <w:rPr>
          <w:rFonts w:eastAsia="Calibri"/>
          <w:lang w:eastAsia="en-US"/>
        </w:rPr>
      </w:pPr>
    </w:p>
    <w:p w14:paraId="4BDF5F35" w14:textId="7D9B1529" w:rsidR="00545429" w:rsidRP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val="pt-BR" w:eastAsia="en-US"/>
        </w:rPr>
        <w:t>Os fenóis totais foram determinados pelo método de Fo</w:t>
      </w:r>
      <w:r w:rsidR="00476330">
        <w:rPr>
          <w:rFonts w:eastAsia="Calibri"/>
          <w:color w:val="auto"/>
          <w:szCs w:val="24"/>
          <w:lang w:val="pt-BR" w:eastAsia="en-US"/>
        </w:rPr>
        <w:t>lin-Ciocalteu modificado (Wang &amp; Lin, 2000; Slinkard &amp;</w:t>
      </w:r>
      <w:r w:rsidRPr="00545429">
        <w:rPr>
          <w:rFonts w:eastAsia="Calibri"/>
          <w:color w:val="auto"/>
          <w:szCs w:val="24"/>
          <w:lang w:val="pt-BR" w:eastAsia="en-US"/>
        </w:rPr>
        <w:t xml:space="preserve"> Singleton, 1997).</w:t>
      </w:r>
      <w:r w:rsidRPr="00545429">
        <w:rPr>
          <w:rFonts w:eastAsia="Calibri"/>
          <w:color w:val="auto"/>
          <w:szCs w:val="24"/>
          <w:lang w:eastAsia="en-US"/>
        </w:rPr>
        <w:t xml:space="preserve"> </w:t>
      </w:r>
    </w:p>
    <w:p w14:paraId="53544BD9" w14:textId="03862381" w:rsidR="00545429" w:rsidRPr="00545429" w:rsidRDefault="00545429" w:rsidP="00545429">
      <w:pPr>
        <w:spacing w:after="0" w:line="360" w:lineRule="auto"/>
        <w:ind w:left="0" w:right="0" w:firstLine="0"/>
        <w:rPr>
          <w:rFonts w:eastAsia="Calibri"/>
          <w:color w:val="auto"/>
          <w:szCs w:val="24"/>
          <w:lang w:val="pt-BR" w:eastAsia="en-US"/>
        </w:rPr>
      </w:pPr>
      <w:r w:rsidRPr="00545429">
        <w:rPr>
          <w:rFonts w:eastAsia="Calibri"/>
          <w:color w:val="auto"/>
          <w:szCs w:val="24"/>
          <w:lang w:val="pt-BR" w:eastAsia="en-US"/>
        </w:rPr>
        <w:t>Para a realização deste método foi necessário preparar uma solução de Folin-Ciocalteau numa proporção de 1:10 (em água destilada) e uma solução de carbonato de sódio 7,5% (w/v). Para a determinação dos fenóis utilizaram-se cuvetes e em cada uma destas cuvetes colocou-se 0,8 mL de carbonato de sódio, 0,2 mL de amostra diluída e 1 mL de solução de Folin (1:10) e fez-se a leitura da absorvância num espectrofotómetro Ultrospect 1100</w:t>
      </w:r>
      <w:r>
        <w:rPr>
          <w:rFonts w:eastAsia="Calibri"/>
          <w:color w:val="auto"/>
          <w:szCs w:val="24"/>
          <w:lang w:val="pt-BR" w:eastAsia="en-US"/>
        </w:rPr>
        <w:t xml:space="preserve"> </w:t>
      </w:r>
      <w:r w:rsidRPr="00545429">
        <w:rPr>
          <w:rFonts w:eastAsia="Calibri"/>
          <w:color w:val="auto"/>
          <w:szCs w:val="24"/>
          <w:lang w:val="pt-BR" w:eastAsia="en-US"/>
        </w:rPr>
        <w:t>pro a 765 nm. O padrão utilizado foi o ácido gálhico nas concentrações 0,6; 0,3; 0,15; 0,05 e 0,025 mg/mL, posteriormente utilizadas par</w:t>
      </w:r>
      <w:r w:rsidR="002521DE">
        <w:rPr>
          <w:rFonts w:eastAsia="Calibri"/>
          <w:color w:val="auto"/>
          <w:szCs w:val="24"/>
          <w:lang w:val="pt-BR" w:eastAsia="en-US"/>
        </w:rPr>
        <w:t xml:space="preserve">a </w:t>
      </w:r>
      <w:r w:rsidR="00166370">
        <w:rPr>
          <w:rFonts w:eastAsia="Calibri"/>
          <w:color w:val="auto"/>
          <w:szCs w:val="24"/>
          <w:lang w:val="pt-BR" w:eastAsia="en-US"/>
        </w:rPr>
        <w:t>a determinação da reta padrão (F</w:t>
      </w:r>
      <w:r w:rsidR="002521DE">
        <w:rPr>
          <w:rFonts w:eastAsia="Calibri"/>
          <w:color w:val="auto"/>
          <w:szCs w:val="24"/>
          <w:lang w:val="pt-BR" w:eastAsia="en-US"/>
        </w:rPr>
        <w:t>igura 4).</w:t>
      </w:r>
    </w:p>
    <w:p w14:paraId="63EE9B45" w14:textId="77777777" w:rsidR="003F49B4" w:rsidRDefault="00545429" w:rsidP="003F49B4">
      <w:pPr>
        <w:keepNext/>
        <w:spacing w:after="200" w:line="360" w:lineRule="auto"/>
        <w:ind w:left="0" w:right="0" w:firstLine="0"/>
        <w:jc w:val="center"/>
      </w:pPr>
      <w:r w:rsidRPr="00545429">
        <w:rPr>
          <w:noProof/>
          <w:szCs w:val="24"/>
        </w:rPr>
        <w:drawing>
          <wp:inline distT="0" distB="0" distL="0" distR="0" wp14:anchorId="4C29C9B2" wp14:editId="7A2B8FEC">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3C7A54B" w14:textId="5E59D12D" w:rsidR="00545429" w:rsidRPr="00545429" w:rsidRDefault="003F49B4" w:rsidP="003F49B4">
      <w:pPr>
        <w:pStyle w:val="Legenda"/>
        <w:jc w:val="center"/>
        <w:rPr>
          <w:rFonts w:eastAsia="Calibri"/>
          <w:i w:val="0"/>
          <w:iCs w:val="0"/>
          <w:color w:val="auto"/>
          <w:lang w:eastAsia="en-US"/>
        </w:rPr>
      </w:pPr>
      <w:bookmarkStart w:id="251" w:name="_Toc479333879"/>
      <w:r>
        <w:t xml:space="preserve">Figura </w:t>
      </w:r>
      <w:r w:rsidR="00805B44">
        <w:fldChar w:fldCharType="begin"/>
      </w:r>
      <w:r w:rsidR="00805B44">
        <w:instrText xml:space="preserve"> SEQ Figura \* ARABIC </w:instrText>
      </w:r>
      <w:r w:rsidR="00805B44">
        <w:fldChar w:fldCharType="separate"/>
      </w:r>
      <w:r w:rsidR="005F28B4">
        <w:rPr>
          <w:noProof/>
        </w:rPr>
        <w:t>4</w:t>
      </w:r>
      <w:r w:rsidR="00805B44">
        <w:rPr>
          <w:noProof/>
        </w:rPr>
        <w:fldChar w:fldCharType="end"/>
      </w:r>
      <w:bookmarkStart w:id="252" w:name="_Toc462710009"/>
      <w:r>
        <w:t>-</w:t>
      </w:r>
      <w:r w:rsidR="00545429" w:rsidRPr="00545429">
        <w:rPr>
          <w:i w:val="0"/>
          <w:iCs w:val="0"/>
          <w:color w:val="auto"/>
        </w:rPr>
        <w:t xml:space="preserve"> </w:t>
      </w:r>
      <w:r w:rsidR="00545429" w:rsidRPr="008E2EF4">
        <w:rPr>
          <w:rFonts w:eastAsia="Calibri"/>
          <w:i w:val="0"/>
          <w:iCs w:val="0"/>
          <w:color w:val="auto"/>
          <w:sz w:val="20"/>
          <w:lang w:eastAsia="en-US"/>
        </w:rPr>
        <w:t>Reta padrão para determinação dos fenóis totais</w:t>
      </w:r>
      <w:bookmarkEnd w:id="251"/>
      <w:bookmarkEnd w:id="252"/>
    </w:p>
    <w:p w14:paraId="7CB081F2" w14:textId="5F60C2C5" w:rsidR="008474A4" w:rsidRPr="00545429" w:rsidRDefault="00545429" w:rsidP="007B34A4">
      <w:pPr>
        <w:spacing w:after="0" w:line="360" w:lineRule="auto"/>
        <w:ind w:left="0" w:right="0" w:firstLine="0"/>
        <w:rPr>
          <w:rFonts w:eastAsia="Calibri"/>
          <w:color w:val="auto"/>
          <w:szCs w:val="24"/>
          <w:lang w:val="pt-BR" w:eastAsia="pt-BR"/>
        </w:rPr>
      </w:pPr>
      <w:r w:rsidRPr="00545429">
        <w:rPr>
          <w:rFonts w:eastAsia="Calibri"/>
          <w:color w:val="auto"/>
          <w:szCs w:val="24"/>
          <w:lang w:val="pt-BR" w:eastAsia="en-US"/>
        </w:rPr>
        <w:t xml:space="preserve">Para o cálculo dos fenóis totais utilizou-se a equação resultante da reta padrão e os resultados obtidos foram expressos em equivalentes de ácido gálhico (em miligramas) por </w:t>
      </w:r>
      <w:r w:rsidR="00A75AB6">
        <w:rPr>
          <w:rFonts w:eastAsia="Calibri"/>
          <w:color w:val="auto"/>
          <w:szCs w:val="24"/>
          <w:lang w:val="pt-BR" w:eastAsia="en-US"/>
        </w:rPr>
        <w:t xml:space="preserve">grama </w:t>
      </w:r>
      <w:r w:rsidRPr="00545429">
        <w:rPr>
          <w:rFonts w:eastAsia="Calibri"/>
          <w:color w:val="auto"/>
          <w:szCs w:val="24"/>
          <w:lang w:val="pt-BR" w:eastAsia="en-US"/>
        </w:rPr>
        <w:t>de peso fresco da amostra</w:t>
      </w:r>
      <w:r w:rsidRPr="00545429">
        <w:rPr>
          <w:rFonts w:eastAsia="Calibri"/>
          <w:color w:val="auto"/>
          <w:szCs w:val="24"/>
          <w:lang w:val="pt-BR" w:eastAsia="pt-BR"/>
        </w:rPr>
        <w:t>.</w:t>
      </w:r>
    </w:p>
    <w:p w14:paraId="56E495B7" w14:textId="3EB23F84" w:rsidR="00044165" w:rsidRDefault="008474A4" w:rsidP="003F49B4">
      <w:pPr>
        <w:pStyle w:val="Cabealho3"/>
        <w:rPr>
          <w:rFonts w:ascii="Times New Roman" w:eastAsia="Calibri" w:hAnsi="Times New Roman" w:cs="Times New Roman"/>
          <w:color w:val="auto"/>
          <w:lang w:val="pt-BR" w:eastAsia="en-US"/>
        </w:rPr>
      </w:pPr>
      <w:bookmarkStart w:id="253" w:name="_Toc479154846"/>
      <w:r>
        <w:rPr>
          <w:rFonts w:ascii="Times New Roman" w:eastAsia="Calibri" w:hAnsi="Times New Roman" w:cs="Times New Roman"/>
          <w:color w:val="auto"/>
          <w:lang w:val="pt-BR" w:eastAsia="en-US"/>
        </w:rPr>
        <w:lastRenderedPageBreak/>
        <w:t>2.3</w:t>
      </w:r>
      <w:r w:rsidR="00545429" w:rsidRPr="003F49B4">
        <w:rPr>
          <w:rFonts w:ascii="Times New Roman" w:eastAsia="Calibri" w:hAnsi="Times New Roman" w:cs="Times New Roman"/>
          <w:color w:val="auto"/>
          <w:lang w:val="pt-BR" w:eastAsia="en-US"/>
        </w:rPr>
        <w:t xml:space="preserve">.2 </w:t>
      </w:r>
      <w:r w:rsidR="00044165">
        <w:rPr>
          <w:rFonts w:ascii="Times New Roman" w:eastAsia="Calibri" w:hAnsi="Times New Roman" w:cs="Times New Roman"/>
          <w:color w:val="auto"/>
          <w:lang w:val="pt-BR" w:eastAsia="en-US"/>
        </w:rPr>
        <w:t>Actividade antioxidante</w:t>
      </w:r>
      <w:bookmarkEnd w:id="253"/>
    </w:p>
    <w:p w14:paraId="66002919" w14:textId="72B67FB7" w:rsidR="00545429" w:rsidRPr="003F49B4" w:rsidRDefault="008474A4" w:rsidP="003F49B4">
      <w:pPr>
        <w:pStyle w:val="Cabealho3"/>
        <w:rPr>
          <w:rFonts w:ascii="Times New Roman" w:eastAsia="Calibri" w:hAnsi="Times New Roman" w:cs="Times New Roman"/>
          <w:color w:val="auto"/>
          <w:lang w:val="pt-BR" w:eastAsia="en-US"/>
        </w:rPr>
      </w:pPr>
      <w:bookmarkStart w:id="254" w:name="_Toc479154847"/>
      <w:r>
        <w:rPr>
          <w:rFonts w:ascii="Times New Roman" w:eastAsia="Calibri" w:hAnsi="Times New Roman" w:cs="Times New Roman"/>
          <w:color w:val="auto"/>
          <w:lang w:val="pt-BR" w:eastAsia="en-US"/>
        </w:rPr>
        <w:t>2.3</w:t>
      </w:r>
      <w:r w:rsidR="00044165">
        <w:rPr>
          <w:rFonts w:ascii="Times New Roman" w:eastAsia="Calibri" w:hAnsi="Times New Roman" w:cs="Times New Roman"/>
          <w:color w:val="auto"/>
          <w:lang w:val="pt-BR" w:eastAsia="en-US"/>
        </w:rPr>
        <w:t xml:space="preserve">.2.1. Método </w:t>
      </w:r>
      <w:r w:rsidR="00545429" w:rsidRPr="003F49B4">
        <w:rPr>
          <w:rFonts w:ascii="Times New Roman" w:eastAsia="Calibri" w:hAnsi="Times New Roman" w:cs="Times New Roman"/>
          <w:color w:val="auto"/>
          <w:lang w:val="pt-BR" w:eastAsia="en-US"/>
        </w:rPr>
        <w:t xml:space="preserve">TEAC </w:t>
      </w:r>
      <w:r w:rsidR="00044165">
        <w:rPr>
          <w:rFonts w:ascii="Times New Roman" w:eastAsia="Calibri" w:hAnsi="Times New Roman" w:cs="Times New Roman"/>
          <w:color w:val="auto"/>
          <w:lang w:val="pt-BR" w:eastAsia="en-US"/>
        </w:rPr>
        <w:t>(</w:t>
      </w:r>
      <w:r w:rsidR="00545429" w:rsidRPr="003F49B4">
        <w:rPr>
          <w:rFonts w:ascii="Times New Roman" w:eastAsia="Calibri" w:hAnsi="Times New Roman" w:cs="Times New Roman"/>
          <w:color w:val="auto"/>
          <w:lang w:val="pt-BR" w:eastAsia="en-US"/>
        </w:rPr>
        <w:t>Trolox equivalent antioxidant capacity</w:t>
      </w:r>
      <w:r w:rsidR="00044165">
        <w:rPr>
          <w:rFonts w:ascii="Times New Roman" w:eastAsia="Calibri" w:hAnsi="Times New Roman" w:cs="Times New Roman"/>
          <w:color w:val="auto"/>
          <w:lang w:val="pt-BR" w:eastAsia="en-US"/>
        </w:rPr>
        <w:t>)</w:t>
      </w:r>
      <w:bookmarkEnd w:id="254"/>
    </w:p>
    <w:p w14:paraId="2F3592FA" w14:textId="77777777" w:rsidR="00545429" w:rsidRPr="00545429" w:rsidRDefault="00545429" w:rsidP="00545429">
      <w:pPr>
        <w:rPr>
          <w:rFonts w:eastAsia="Calibri"/>
          <w:lang w:val="pt-BR" w:eastAsia="en-US"/>
        </w:rPr>
      </w:pPr>
    </w:p>
    <w:p w14:paraId="35545411" w14:textId="77777777" w:rsidR="00545429" w:rsidRPr="00545429" w:rsidRDefault="00545429" w:rsidP="00882CE6">
      <w:pPr>
        <w:spacing w:after="0" w:line="360" w:lineRule="auto"/>
        <w:ind w:left="0" w:right="0" w:firstLine="0"/>
        <w:rPr>
          <w:rFonts w:eastAsia="Calibri"/>
          <w:color w:val="auto"/>
          <w:szCs w:val="24"/>
          <w:lang w:val="pt-BR" w:eastAsia="en-US"/>
        </w:rPr>
      </w:pPr>
      <w:bookmarkStart w:id="255" w:name="OLE_LINK89"/>
      <w:bookmarkStart w:id="256" w:name="OLE_LINK88"/>
      <w:bookmarkStart w:id="257" w:name="OLE_LINK87"/>
      <w:r w:rsidRPr="00545429">
        <w:rPr>
          <w:rFonts w:eastAsia="Calibri"/>
          <w:color w:val="auto"/>
          <w:szCs w:val="24"/>
          <w:lang w:val="pt-BR" w:eastAsia="en-US"/>
        </w:rPr>
        <w:t>Para a determinação do TEAC utilizou-se o método adaptado de RE</w:t>
      </w:r>
      <w:r w:rsidRPr="005F563F">
        <w:rPr>
          <w:rFonts w:eastAsia="Calibri"/>
          <w:color w:val="auto"/>
          <w:szCs w:val="24"/>
          <w:lang w:val="pt-BR" w:eastAsia="en-US"/>
        </w:rPr>
        <w:t xml:space="preserve">, </w:t>
      </w:r>
      <w:r w:rsidRPr="005F563F">
        <w:rPr>
          <w:rFonts w:eastAsia="Calibri"/>
          <w:color w:val="auto"/>
          <w:szCs w:val="24"/>
          <w:lang w:val="la-Latn" w:eastAsia="en-US"/>
        </w:rPr>
        <w:t>et</w:t>
      </w:r>
      <w:r w:rsidRPr="005F563F">
        <w:rPr>
          <w:rFonts w:eastAsia="Calibri"/>
          <w:color w:val="auto"/>
          <w:szCs w:val="24"/>
          <w:lang w:val="pt-BR" w:eastAsia="en-US"/>
        </w:rPr>
        <w:t xml:space="preserve"> al.</w:t>
      </w:r>
      <w:r w:rsidRPr="00545429">
        <w:rPr>
          <w:rFonts w:eastAsia="Calibri"/>
          <w:color w:val="auto"/>
          <w:szCs w:val="24"/>
          <w:lang w:val="pt-BR" w:eastAsia="en-US"/>
        </w:rPr>
        <w:t xml:space="preserve"> (1999).</w:t>
      </w:r>
    </w:p>
    <w:bookmarkEnd w:id="255"/>
    <w:bookmarkEnd w:id="256"/>
    <w:bookmarkEnd w:id="257"/>
    <w:p w14:paraId="04E11A31" w14:textId="421DF117" w:rsid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Este método estuda a capacidade antioxidante através da eliminação do radical ABTS</w:t>
      </w:r>
      <w:r w:rsidRPr="00545429">
        <w:rPr>
          <w:rFonts w:eastAsia="Calibri"/>
          <w:color w:val="auto"/>
          <w:szCs w:val="24"/>
          <w:vertAlign w:val="superscript"/>
          <w:lang w:val="pt-BR" w:eastAsia="en-US"/>
        </w:rPr>
        <w:t>+</w:t>
      </w:r>
      <w:r w:rsidRPr="00545429">
        <w:rPr>
          <w:rFonts w:eastAsia="Calibri"/>
          <w:color w:val="auto"/>
          <w:szCs w:val="24"/>
          <w:lang w:val="pt-BR" w:eastAsia="en-US"/>
        </w:rPr>
        <w:t xml:space="preserve">  (2,2′-azinobis-(3-ethylbenzothiazoline-6-sulfonic acid) </w:t>
      </w:r>
      <w:r w:rsidRPr="00545429">
        <w:rPr>
          <w:rFonts w:eastAsia="Calibri"/>
          <w:color w:val="auto"/>
          <w:szCs w:val="24"/>
          <w:lang w:val="pt-BR" w:eastAsia="en-US"/>
        </w:rPr>
        <w:fldChar w:fldCharType="begin" w:fldLock="1"/>
      </w:r>
      <w:r w:rsidR="005F563F">
        <w:rPr>
          <w:rFonts w:eastAsia="Calibri"/>
          <w:color w:val="auto"/>
          <w:szCs w:val="24"/>
          <w:lang w:val="pt-BR" w:eastAsia="en-US"/>
        </w:rPr>
        <w:instrText>ADDIN CSL_CITATION { "citationItems" : [ { "id" : "ITEM-1", "itemData" : { "DOI" : "doi:10.1016/j.fct.2003.08.004", "abstract" : "The Trolox Equivalent Antioxidant Capacity (TEAC) assay is based on the scavenging of the 2,2\u2032-azinobis-(3-ethylbenzothiazoline-6-sulfonic acid) (ABTS) radical (ABTS\u2022) converting it into a colorless product. The degree of decolorization induced by a compound is related to that induced by trolox, giving the TEAC value. The assay is frequently used for constructing structure activity relationships (SARs). HPLC analysis of the reaction mixture, obtained after scavenging of ABTS\u2022 by the flavonoid chrysin, shows that a product is formed that also reacts with ABTS\u2022. The product has a higher antioxidant capacity and reacts faster with ABTS\u2022 than the parent compound, chrysin. In contrast to the reaction product of chrysin, the reaction product of trolox, which is formed during scavenging of ABTS\u2022, i.e. trolox quinone, does not react with ABTS\u2022. The experiments show that the TEAC is the antioxidant capacity of the parent compound plus the potential antioxidant capacity of the reaction product(s). This means that the TEAC assay does not necessarily reflect the antioxidant effect of only one structure. This hampers the applicability of the assay for the construction of SARs and for ranking antioxidants.", "author" : [ { "dropping-particle" : "", "family" : "Arts", "given" : "Mariken J.T.J", "non-dropping-particle" : "", "parse-names" : false, "suffix" : "" }, { "dropping-particle" : "", "family" : "Haenen", "given" : "Guido R.M.M", "non-dropping-particle" : "", "parse-names" : false, "suffix" : "" }, { "dropping-particle" : "", "family" : "Voss", "given" : "Hans-Peter", "non-dropping-particle" : "", "parse-names" : false, "suffix" : "" }, { "dropping-particle" : "", "family" : "Bast", "given" : "Aalt", "non-dropping-particle" : "", "parse-names" : false, "suffix" : "" } ], "container-title" : "Food and Chemical Toxicology", "id" : "ITEM-1", "issue" : "1", "issued" : { "date-parts" : [ [ "2004" ] ] }, "page" : "45-49", "title" : "Antioxidant capacity of reaction products limits the applicability of the Trolox Equivalent Antioxidant Capacity (TEAC) assay", "type" : "article-journal", "volume" : "42" }, "uris" : [ "http://www.mendeley.com/documents/?uuid=b1b33f03-9acc-4095-81c2-2b4c7991bc96" ] } ], "mendeley" : { "formattedCitation" : "(Arts, Haenen, Voss, &amp; Bast, 2004)", "manualFormatting" : "(Arts et al., 2004)", "plainTextFormattedCitation" : "(Arts, Haenen, Voss, &amp; Bast, 2004)", "previouslyFormattedCitation" : "(Arts, Haenen, Voss, &amp; Bast, 2004)" }, "properties" : { "noteIndex" : 0 }, "schema" : "https://github.com/citation-style-language/schema/raw/master/csl-citation.json" }</w:instrText>
      </w:r>
      <w:r w:rsidRPr="00545429">
        <w:rPr>
          <w:rFonts w:eastAsia="Calibri"/>
          <w:color w:val="auto"/>
          <w:szCs w:val="24"/>
          <w:lang w:val="pt-BR" w:eastAsia="en-US"/>
        </w:rPr>
        <w:fldChar w:fldCharType="separate"/>
      </w:r>
      <w:r w:rsidR="005F563F">
        <w:rPr>
          <w:rFonts w:eastAsia="Calibri"/>
          <w:noProof/>
          <w:color w:val="auto"/>
          <w:szCs w:val="24"/>
          <w:lang w:val="pt-BR" w:eastAsia="en-US"/>
        </w:rPr>
        <w:t>(Arts et al.</w:t>
      </w:r>
      <w:r w:rsidRPr="00545429">
        <w:rPr>
          <w:rFonts w:eastAsia="Calibri"/>
          <w:noProof/>
          <w:color w:val="auto"/>
          <w:szCs w:val="24"/>
          <w:lang w:val="pt-BR" w:eastAsia="en-US"/>
        </w:rPr>
        <w:t>, 2004)</w:t>
      </w:r>
      <w:r w:rsidRPr="00545429">
        <w:rPr>
          <w:rFonts w:eastAsia="Calibri"/>
          <w:color w:val="auto"/>
          <w:szCs w:val="24"/>
          <w:lang w:val="pt-BR" w:eastAsia="en-US"/>
        </w:rPr>
        <w:fldChar w:fldCharType="end"/>
      </w:r>
      <w:r w:rsidRPr="00545429">
        <w:rPr>
          <w:rFonts w:eastAsia="Calibri"/>
          <w:color w:val="auto"/>
          <w:szCs w:val="24"/>
          <w:lang w:val="pt-BR" w:eastAsia="en-US"/>
        </w:rPr>
        <w:t xml:space="preserve">.Este radical é obtido pela oxidação do ABTS com o persulfato de potássio e é reduzido pela presença de antioxidantes dadores de hidrogénio levando a uma descoloração </w:t>
      </w:r>
      <w:r w:rsidRPr="00545429">
        <w:rPr>
          <w:rFonts w:eastAsia="Calibri"/>
          <w:color w:val="auto"/>
          <w:szCs w:val="24"/>
          <w:lang w:val="pt-BR" w:eastAsia="en-US"/>
        </w:rPr>
        <w:fldChar w:fldCharType="begin" w:fldLock="1"/>
      </w:r>
      <w:r w:rsidRPr="00545429">
        <w:rPr>
          <w:rFonts w:eastAsia="Calibri"/>
          <w:color w:val="auto"/>
          <w:szCs w:val="24"/>
          <w:lang w:val="pt-BR" w:eastAsia="en-US"/>
        </w:rPr>
        <w:instrText>ADDIN CSL_CITATION { "citationItems" : [ { "id" : "ITEM-1", "itemData" : { "abstract" : "method for the screening of antioxidant activity is reported as a decolorization assay applicable to both lipophilic and hydrophilic antioxidants, including flavonoids, hydroxycinnamates, carotenoids, and plasma antioxidants. The pre-formed radical monocation of 2,2\u2032-azinobis-(3-ethylbenzothiazoline-6-sulfonic acid) (ABTS\u2022+) is generated by oxidation of ABTS with potassium persulfate and is reduced in the presence of such hydrogen-donating antioxidants. The influences of both the concentration of antioxidant and duration of reaction on the inhibition of the radical cation absorption are taken into account when determining the antioxidant activity. This assay clearly improves the original TEAC assay (the ferryl myoglobin/ABTS assay) for the determination of antioxidant activity in a number of ways. First, the chemistry involves the direct generation of the ABTS radical monocation with no involvement of an intermediary radical. Second, it is a decolorization assay; thus the radical cation is pre-formed prior to addition of antioxidant test systems, rather than the generation of the radical taking place continually in the presence of the antioxidant. Hence the results obtained with the improved system may not always be directly comparable with those obtained using the original TEAC assay. Third, it is applicable to both aqueous and lipophilic systems.", "author" : [ { "dropping-particle" : "", "family" : "Re", "given" : "Roberta", "non-dropping-particle" : "", "parse-names" : false, "suffix" : "" }, { "dropping-particle" : "", "family" : "Pellegrini", "given" : "Nicoletta", "non-dropping-particle" : "", "parse-names" : false, "suffix" : "" }, { "dropping-particle" : "", "family" : "Proteggente", "given" : "Anna", "non-dropping-particle" : "", "parse-names" : false, "suffix" : "" }, { "dropping-particle" : "", "family" : "Pannala", "given" : "Ananth", "non-dropping-particle" : "", "parse-names" : false, "suffix" : "" }, { "dropping-particle" : "", "family" : "Yang", "given" : "Min", "non-dropping-particle" : "", "parse-names" : false, "suffix" : "" }, { "dropping-particle" : "", "family" : "Rice-Evans", "given" : "Catherine", "non-dropping-particle" : "", "parse-names" : false, "suffix" : "" } ], "container-title" : "Free Radical Biology and Medicine", "id" : "ITEM-1", "issue" : "9-10", "issued" : { "date-parts" : [ [ "1999" ] ] }, "page" : "1231-1237", "title" : "Antioxidant activity applying an improved ABTS radical cation decolorization assay", "type" : "article-journal", "volume" : "26" }, "uris" : [ "http://www.mendeley.com/documents/?uuid=ad9f08f7-6c9a-4462-9515-cbbe3db671f5" ] } ], "mendeley" : { "formattedCitation" : "(Re et al., 1999)", "plainTextFormattedCitation" : "(Re et al., 1999)", "previouslyFormattedCitation" : "(Re et al., 1999)" }, "properties" : { "noteIndex" : 0 }, "schema" : "https://github.com/citation-style-language/schema/raw/master/csl-citation.json" }</w:instrText>
      </w:r>
      <w:r w:rsidRPr="00545429">
        <w:rPr>
          <w:rFonts w:eastAsia="Calibri"/>
          <w:color w:val="auto"/>
          <w:szCs w:val="24"/>
          <w:lang w:val="pt-BR" w:eastAsia="en-US"/>
        </w:rPr>
        <w:fldChar w:fldCharType="separate"/>
      </w:r>
      <w:r w:rsidRPr="00545429">
        <w:rPr>
          <w:rFonts w:eastAsia="Calibri"/>
          <w:noProof/>
          <w:color w:val="auto"/>
          <w:szCs w:val="24"/>
          <w:lang w:val="pt-BR" w:eastAsia="en-US"/>
        </w:rPr>
        <w:t>(Re et al., 1999)</w:t>
      </w:r>
      <w:r w:rsidRPr="00545429">
        <w:rPr>
          <w:rFonts w:eastAsia="Calibri"/>
          <w:color w:val="auto"/>
          <w:szCs w:val="24"/>
          <w:lang w:val="pt-BR" w:eastAsia="en-US"/>
        </w:rPr>
        <w:fldChar w:fldCharType="end"/>
      </w:r>
      <w:r w:rsidRPr="00545429">
        <w:rPr>
          <w:rFonts w:eastAsia="Calibri"/>
          <w:color w:val="auto"/>
          <w:szCs w:val="24"/>
          <w:lang w:val="pt-BR" w:eastAsia="en-US"/>
        </w:rPr>
        <w:t>.</w:t>
      </w:r>
    </w:p>
    <w:p w14:paraId="4AB67722" w14:textId="7777777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Neste trabalho começou-se por preparar uma solução mãe de ABTS, com 0,19</w:t>
      </w:r>
      <w:r w:rsidR="00A44C2B">
        <w:rPr>
          <w:rFonts w:eastAsia="Calibri"/>
          <w:color w:val="auto"/>
          <w:szCs w:val="24"/>
          <w:lang w:val="pt-BR" w:eastAsia="en-US"/>
        </w:rPr>
        <w:t xml:space="preserve"> </w:t>
      </w:r>
      <w:r w:rsidRPr="00545429">
        <w:rPr>
          <w:rFonts w:eastAsia="Calibri"/>
          <w:color w:val="auto"/>
          <w:szCs w:val="24"/>
          <w:lang w:val="pt-BR" w:eastAsia="en-US"/>
        </w:rPr>
        <w:t>g deste em 50</w:t>
      </w:r>
      <w:r w:rsidR="00A44C2B">
        <w:rPr>
          <w:rFonts w:eastAsia="Calibri"/>
          <w:color w:val="auto"/>
          <w:szCs w:val="24"/>
          <w:lang w:val="pt-BR" w:eastAsia="en-US"/>
        </w:rPr>
        <w:t xml:space="preserve"> </w:t>
      </w:r>
      <w:r w:rsidRPr="00545429">
        <w:rPr>
          <w:rFonts w:eastAsia="Calibri"/>
          <w:color w:val="auto"/>
          <w:szCs w:val="24"/>
          <w:lang w:val="pt-BR" w:eastAsia="en-US"/>
        </w:rPr>
        <w:t>ml de água e uma solução de persulfato de potássio de 2,45 mM. Juntaram-se as duas soluções e deixou-se repousar no escuro a temperatura ambiente entre 12 a 16h.</w:t>
      </w:r>
    </w:p>
    <w:p w14:paraId="55052912" w14:textId="7777777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Após esta espera foi feita uma solução diária de ABTS diluindo a solução intermédia em etanol a 96% e obter uma leitura no espectofotómetro de 0.7 – 0.8 a 735 nm.</w:t>
      </w:r>
    </w:p>
    <w:p w14:paraId="42056996" w14:textId="77777777" w:rsidR="00545429" w:rsidRPr="00545429" w:rsidRDefault="00545429" w:rsidP="00882CE6">
      <w:pPr>
        <w:spacing w:after="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Para se prosseguir a análise colocou-se 990 </w:t>
      </w:r>
      <w:bookmarkStart w:id="258" w:name="OLE_LINK79"/>
      <w:bookmarkStart w:id="259" w:name="OLE_LINK78"/>
      <w:r w:rsidRPr="00545429">
        <w:rPr>
          <w:rFonts w:eastAsia="Calibri"/>
          <w:color w:val="auto"/>
          <w:szCs w:val="24"/>
          <w:lang w:val="pt-BR" w:eastAsia="en-US"/>
        </w:rPr>
        <w:t xml:space="preserve">µL </w:t>
      </w:r>
      <w:bookmarkEnd w:id="258"/>
      <w:bookmarkEnd w:id="259"/>
      <w:r w:rsidRPr="00545429">
        <w:rPr>
          <w:rFonts w:eastAsia="Calibri"/>
          <w:color w:val="auto"/>
          <w:szCs w:val="24"/>
          <w:lang w:val="pt-BR" w:eastAsia="en-US"/>
        </w:rPr>
        <w:t xml:space="preserve">da solução diária em cada cuvete e fez-se a leitura da absorvância. Posteriormente, adicionaram-se 10 µL de amostra do padrão e após 6 min (tempo de reação) foi feita a leitura da absorvância num espectrofotómetro Ultrospect 1100 pro a um comprimento de onda de 735 nm. </w:t>
      </w:r>
    </w:p>
    <w:p w14:paraId="64B0755C" w14:textId="77777777" w:rsidR="00545429" w:rsidRPr="00700C0B" w:rsidRDefault="00545429" w:rsidP="00700C0B">
      <w:pPr>
        <w:spacing w:after="160" w:line="360" w:lineRule="auto"/>
        <w:ind w:left="0" w:right="0" w:firstLine="0"/>
        <w:jc w:val="left"/>
        <w:rPr>
          <w:rFonts w:eastAsia="Calibri"/>
          <w:color w:val="auto"/>
          <w:szCs w:val="24"/>
          <w:lang w:val="pt-BR" w:eastAsia="en-US"/>
        </w:rPr>
      </w:pPr>
      <w:r w:rsidRPr="00545429">
        <w:rPr>
          <w:rFonts w:eastAsia="Calibri"/>
          <w:color w:val="auto"/>
          <w:szCs w:val="24"/>
          <w:lang w:val="pt-BR" w:eastAsia="en-US"/>
        </w:rPr>
        <w:t>A atividade antioxidante das amostras foi express</w:t>
      </w:r>
      <w:r w:rsidR="00700C0B">
        <w:rPr>
          <w:rFonts w:eastAsia="Calibri"/>
          <w:color w:val="auto"/>
          <w:szCs w:val="24"/>
          <w:lang w:val="pt-BR" w:eastAsia="en-US"/>
        </w:rPr>
        <w:t xml:space="preserve">a em percentagem de inibição do </w:t>
      </w:r>
      <w:r w:rsidRPr="00545429">
        <w:rPr>
          <w:rFonts w:eastAsia="Calibri"/>
          <w:color w:val="auto"/>
          <w:szCs w:val="24"/>
          <w:lang w:val="pt-BR" w:eastAsia="en-US"/>
        </w:rPr>
        <w:t xml:space="preserve">ABTS calculada através da seguinte fórmula: </w:t>
      </w:r>
      <m:oMath>
        <m:r>
          <m:rPr>
            <m:sty m:val="p"/>
          </m:rPr>
          <w:rPr>
            <w:rFonts w:ascii="Cambria Math" w:eastAsia="Calibri" w:hAnsi="Cambria Math"/>
            <w:color w:val="auto"/>
            <w:szCs w:val="24"/>
            <w:lang w:eastAsia="en-US"/>
          </w:rPr>
          <w:br/>
        </m:r>
      </m:oMath>
      <m:oMathPara>
        <m:oMathParaPr>
          <m:jc m:val="center"/>
        </m:oMathParaPr>
        <m:oMath>
          <m:r>
            <w:rPr>
              <w:rFonts w:ascii="Cambria Math" w:eastAsia="Calibri" w:hAnsi="Cambria Math"/>
              <w:color w:val="auto"/>
              <w:szCs w:val="24"/>
              <w:lang w:eastAsia="en-US"/>
            </w:rPr>
            <m:t>% inibição da absorvância=</m:t>
          </m:r>
          <m:d>
            <m:dPr>
              <m:ctrlPr>
                <w:rPr>
                  <w:rFonts w:ascii="Cambria Math" w:eastAsia="Calibri" w:hAnsi="Cambria Math"/>
                  <w:i/>
                  <w:color w:val="auto"/>
                  <w:szCs w:val="24"/>
                  <w:lang w:eastAsia="en-US"/>
                </w:rPr>
              </m:ctrlPr>
            </m:dPr>
            <m:e>
              <m:f>
                <m:fPr>
                  <m:ctrlPr>
                    <w:rPr>
                      <w:rFonts w:ascii="Cambria Math" w:eastAsia="Calibri" w:hAnsi="Cambria Math"/>
                      <w:i/>
                      <w:color w:val="auto"/>
                      <w:szCs w:val="24"/>
                      <w:lang w:eastAsia="en-US"/>
                    </w:rPr>
                  </m:ctrlPr>
                </m:fPr>
                <m:num>
                  <m:r>
                    <w:rPr>
                      <w:rFonts w:ascii="Cambria Math" w:eastAsia="Calibri" w:hAnsi="Cambria Math"/>
                      <w:color w:val="auto"/>
                      <w:szCs w:val="24"/>
                      <w:lang w:eastAsia="en-US"/>
                    </w:rPr>
                    <m:t>A0-A1</m:t>
                  </m:r>
                </m:num>
                <m:den>
                  <m:r>
                    <w:rPr>
                      <w:rFonts w:ascii="Cambria Math" w:eastAsia="Calibri" w:hAnsi="Cambria Math"/>
                      <w:color w:val="auto"/>
                      <w:szCs w:val="24"/>
                      <w:lang w:eastAsia="en-US"/>
                    </w:rPr>
                    <m:t>A0</m:t>
                  </m:r>
                </m:den>
              </m:f>
            </m:e>
          </m:d>
          <m:r>
            <w:rPr>
              <w:rFonts w:ascii="Cambria Math" w:eastAsia="Calibri" w:hAnsi="Cambria Math"/>
              <w:color w:val="auto"/>
              <w:szCs w:val="24"/>
              <w:lang w:eastAsia="en-US"/>
            </w:rPr>
            <m:t>*100</m:t>
          </m:r>
        </m:oMath>
      </m:oMathPara>
    </w:p>
    <w:p w14:paraId="60932A67" w14:textId="77777777" w:rsidR="00545429" w:rsidRPr="00545429" w:rsidRDefault="00545429" w:rsidP="00545429">
      <w:pPr>
        <w:spacing w:after="160" w:line="360" w:lineRule="auto"/>
        <w:ind w:left="0" w:right="0" w:firstLine="0"/>
        <w:rPr>
          <w:rFonts w:eastAsia="Calibri"/>
          <w:color w:val="auto"/>
          <w:szCs w:val="24"/>
          <w:lang w:val="pt-BR" w:eastAsia="en-US"/>
        </w:rPr>
      </w:pPr>
      <w:r w:rsidRPr="00545429">
        <w:rPr>
          <w:rFonts w:eastAsia="Calibri"/>
          <w:color w:val="auto"/>
          <w:szCs w:val="24"/>
          <w:lang w:val="pt-BR" w:eastAsia="en-US"/>
        </w:rPr>
        <w:t>Onde A</w:t>
      </w:r>
      <w:r w:rsidRPr="00545429">
        <w:rPr>
          <w:rFonts w:eastAsia="Calibri"/>
          <w:color w:val="auto"/>
          <w:szCs w:val="24"/>
          <w:vertAlign w:val="subscript"/>
          <w:lang w:val="pt-BR" w:eastAsia="en-US"/>
        </w:rPr>
        <w:t>0</w:t>
      </w:r>
      <w:r w:rsidRPr="00545429">
        <w:rPr>
          <w:rFonts w:eastAsia="Calibri"/>
          <w:color w:val="auto"/>
          <w:szCs w:val="24"/>
          <w:lang w:val="pt-BR" w:eastAsia="en-US"/>
        </w:rPr>
        <w:t xml:space="preserve"> corresponde ao valor de absorvância da solução diária e A</w:t>
      </w:r>
      <w:r w:rsidRPr="00545429">
        <w:rPr>
          <w:rFonts w:eastAsia="Calibri"/>
          <w:color w:val="auto"/>
          <w:szCs w:val="24"/>
          <w:vertAlign w:val="subscript"/>
          <w:lang w:val="pt-BR" w:eastAsia="en-US"/>
        </w:rPr>
        <w:t>1</w:t>
      </w:r>
      <w:r w:rsidRPr="00545429">
        <w:rPr>
          <w:rFonts w:eastAsia="Calibri"/>
          <w:color w:val="auto"/>
          <w:szCs w:val="24"/>
          <w:lang w:val="pt-BR" w:eastAsia="en-US"/>
        </w:rPr>
        <w:t xml:space="preserve"> corresponde ao valor de absorvância da solução diária com amostra ou padrão decorridos 6 minutos.  </w:t>
      </w:r>
    </w:p>
    <w:p w14:paraId="08CEA569" w14:textId="08116B72" w:rsidR="00545429" w:rsidRPr="00545429" w:rsidRDefault="00545429" w:rsidP="00545429">
      <w:pPr>
        <w:spacing w:after="16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O padrão utilizado foi o trolox (um antioxidante sintético) nas concentrações </w:t>
      </w:r>
      <w:r w:rsidRPr="00545429">
        <w:rPr>
          <w:rFonts w:eastAsia="Calibri"/>
          <w:color w:val="auto"/>
          <w:szCs w:val="24"/>
          <w:lang w:eastAsia="en-US"/>
        </w:rPr>
        <w:t xml:space="preserve"> 500, 1000, 1500, 2000 e 2500 uM</w:t>
      </w:r>
      <w:r w:rsidRPr="00545429">
        <w:rPr>
          <w:rFonts w:eastAsia="Calibri"/>
          <w:color w:val="auto"/>
          <w:szCs w:val="24"/>
          <w:lang w:val="pt-BR" w:eastAsia="en-US"/>
        </w:rPr>
        <w:t>, posteriormente utilizadas par</w:t>
      </w:r>
      <w:r w:rsidR="002521DE">
        <w:rPr>
          <w:rFonts w:eastAsia="Calibri"/>
          <w:color w:val="auto"/>
          <w:szCs w:val="24"/>
          <w:lang w:val="pt-BR" w:eastAsia="en-US"/>
        </w:rPr>
        <w:t>a a determinação da reta</w:t>
      </w:r>
      <w:r w:rsidR="00166370">
        <w:rPr>
          <w:rFonts w:eastAsia="Calibri"/>
          <w:color w:val="auto"/>
          <w:szCs w:val="24"/>
          <w:lang w:val="pt-BR" w:eastAsia="en-US"/>
        </w:rPr>
        <w:t xml:space="preserve"> padrão (F</w:t>
      </w:r>
      <w:r w:rsidR="002521DE">
        <w:rPr>
          <w:rFonts w:eastAsia="Calibri"/>
          <w:color w:val="auto"/>
          <w:szCs w:val="24"/>
          <w:lang w:val="pt-BR" w:eastAsia="en-US"/>
        </w:rPr>
        <w:t>igura 5).</w:t>
      </w:r>
    </w:p>
    <w:p w14:paraId="7AAC6783" w14:textId="77777777" w:rsidR="003F49B4" w:rsidRDefault="00E610D5" w:rsidP="003F49B4">
      <w:pPr>
        <w:keepNext/>
        <w:spacing w:after="200" w:line="360" w:lineRule="auto"/>
        <w:ind w:left="0" w:right="0" w:firstLine="0"/>
        <w:jc w:val="center"/>
      </w:pPr>
      <w:r>
        <w:rPr>
          <w:noProof/>
        </w:rPr>
        <w:lastRenderedPageBreak/>
        <w:drawing>
          <wp:inline distT="0" distB="0" distL="0" distR="0" wp14:anchorId="743D3DE7" wp14:editId="6C7CB9C8">
            <wp:extent cx="4572000" cy="2743200"/>
            <wp:effectExtent l="0" t="0" r="0" b="0"/>
            <wp:docPr id="9" name="Gráfico 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30BF989" w14:textId="03FE5C4B" w:rsidR="00545429" w:rsidRPr="00545429" w:rsidRDefault="003F49B4" w:rsidP="003F49B4">
      <w:pPr>
        <w:pStyle w:val="Legenda"/>
        <w:jc w:val="center"/>
        <w:rPr>
          <w:rFonts w:eastAsia="Calibri"/>
          <w:i w:val="0"/>
          <w:iCs w:val="0"/>
          <w:color w:val="auto"/>
          <w:szCs w:val="24"/>
          <w:lang w:eastAsia="en-US"/>
        </w:rPr>
      </w:pPr>
      <w:bookmarkStart w:id="260" w:name="_Toc479333880"/>
      <w:r>
        <w:t xml:space="preserve">Figura </w:t>
      </w:r>
      <w:r w:rsidR="00805B44">
        <w:fldChar w:fldCharType="begin"/>
      </w:r>
      <w:r w:rsidR="00805B44">
        <w:instrText xml:space="preserve"> SEQ Figura \* ARABIC </w:instrText>
      </w:r>
      <w:r w:rsidR="00805B44">
        <w:fldChar w:fldCharType="separate"/>
      </w:r>
      <w:r w:rsidR="005F28B4">
        <w:rPr>
          <w:noProof/>
        </w:rPr>
        <w:t>5</w:t>
      </w:r>
      <w:r w:rsidR="00805B44">
        <w:rPr>
          <w:noProof/>
        </w:rPr>
        <w:fldChar w:fldCharType="end"/>
      </w:r>
      <w:bookmarkStart w:id="261" w:name="_Toc462710010"/>
      <w:r w:rsidR="00545429" w:rsidRPr="00545429">
        <w:rPr>
          <w:i w:val="0"/>
          <w:iCs w:val="0"/>
          <w:color w:val="auto"/>
        </w:rPr>
        <w:t xml:space="preserve"> </w:t>
      </w:r>
      <w:r w:rsidR="008E2EF4">
        <w:rPr>
          <w:i w:val="0"/>
          <w:iCs w:val="0"/>
          <w:color w:val="auto"/>
        </w:rPr>
        <w:t xml:space="preserve">- </w:t>
      </w:r>
      <w:r w:rsidR="00545429" w:rsidRPr="008E2EF4">
        <w:rPr>
          <w:i w:val="0"/>
          <w:iCs w:val="0"/>
          <w:color w:val="auto"/>
          <w:sz w:val="20"/>
        </w:rPr>
        <w:t>Reta padrão para determinação do TEAC</w:t>
      </w:r>
      <w:bookmarkEnd w:id="260"/>
      <w:bookmarkEnd w:id="261"/>
    </w:p>
    <w:p w14:paraId="3D70DACE" w14:textId="77777777" w:rsidR="00545429" w:rsidRDefault="00545429" w:rsidP="00545429">
      <w:pPr>
        <w:keepNext/>
        <w:keepLines/>
        <w:spacing w:before="40" w:after="0"/>
        <w:outlineLvl w:val="2"/>
        <w:rPr>
          <w:rFonts w:eastAsia="Calibri"/>
          <w:color w:val="auto"/>
          <w:szCs w:val="24"/>
          <w:lang w:eastAsia="en-US"/>
        </w:rPr>
      </w:pPr>
    </w:p>
    <w:p w14:paraId="2D86E91A" w14:textId="77777777" w:rsidR="00545429" w:rsidRDefault="00545429" w:rsidP="00545429">
      <w:pPr>
        <w:keepNext/>
        <w:keepLines/>
        <w:spacing w:before="40" w:after="0"/>
        <w:outlineLvl w:val="2"/>
        <w:rPr>
          <w:rFonts w:eastAsia="Calibri"/>
          <w:color w:val="auto"/>
          <w:szCs w:val="24"/>
          <w:lang w:eastAsia="en-US"/>
        </w:rPr>
      </w:pPr>
    </w:p>
    <w:p w14:paraId="2BA9633D" w14:textId="261ABDA6" w:rsidR="00545429" w:rsidRPr="003F49B4" w:rsidRDefault="008474A4" w:rsidP="003F49B4">
      <w:pPr>
        <w:pStyle w:val="Cabealho3"/>
        <w:rPr>
          <w:rFonts w:ascii="Times New Roman" w:eastAsia="Calibri" w:hAnsi="Times New Roman" w:cs="Times New Roman"/>
          <w:color w:val="auto"/>
          <w:lang w:eastAsia="en-US"/>
        </w:rPr>
      </w:pPr>
      <w:bookmarkStart w:id="262" w:name="_Toc479154848"/>
      <w:r>
        <w:rPr>
          <w:rFonts w:ascii="Times New Roman" w:eastAsia="Calibri" w:hAnsi="Times New Roman" w:cs="Times New Roman"/>
          <w:color w:val="auto"/>
          <w:lang w:eastAsia="en-US"/>
        </w:rPr>
        <w:t>2.3</w:t>
      </w:r>
      <w:r w:rsidR="00545429" w:rsidRPr="003F49B4">
        <w:rPr>
          <w:rFonts w:ascii="Times New Roman" w:eastAsia="Calibri" w:hAnsi="Times New Roman" w:cs="Times New Roman"/>
          <w:color w:val="auto"/>
          <w:lang w:eastAsia="en-US"/>
        </w:rPr>
        <w:t>.</w:t>
      </w:r>
      <w:r w:rsidR="00044165">
        <w:rPr>
          <w:rFonts w:ascii="Times New Roman" w:eastAsia="Calibri" w:hAnsi="Times New Roman" w:cs="Times New Roman"/>
          <w:color w:val="auto"/>
          <w:lang w:eastAsia="en-US"/>
        </w:rPr>
        <w:t>2.2.</w:t>
      </w:r>
      <w:r w:rsidR="00545429" w:rsidRPr="003F49B4">
        <w:rPr>
          <w:rFonts w:ascii="Times New Roman" w:eastAsia="Calibri" w:hAnsi="Times New Roman" w:cs="Times New Roman"/>
          <w:color w:val="auto"/>
          <w:lang w:eastAsia="en-US"/>
        </w:rPr>
        <w:t xml:space="preserve"> </w:t>
      </w:r>
      <w:r w:rsidR="00044165">
        <w:rPr>
          <w:rFonts w:ascii="Times New Roman" w:eastAsia="Calibri" w:hAnsi="Times New Roman" w:cs="Times New Roman"/>
          <w:color w:val="auto"/>
          <w:lang w:eastAsia="en-US"/>
        </w:rPr>
        <w:t xml:space="preserve">Método </w:t>
      </w:r>
      <w:r w:rsidR="00545429" w:rsidRPr="003F49B4">
        <w:rPr>
          <w:rFonts w:ascii="Times New Roman" w:eastAsia="Calibri" w:hAnsi="Times New Roman" w:cs="Times New Roman"/>
          <w:color w:val="auto"/>
          <w:lang w:eastAsia="en-US"/>
        </w:rPr>
        <w:t>DPPH</w:t>
      </w:r>
      <w:bookmarkEnd w:id="262"/>
    </w:p>
    <w:p w14:paraId="1C50D801" w14:textId="77777777" w:rsidR="00545429" w:rsidRPr="00545429" w:rsidRDefault="00545429" w:rsidP="00545429">
      <w:pPr>
        <w:keepNext/>
        <w:keepLines/>
        <w:spacing w:before="40" w:after="0"/>
        <w:outlineLvl w:val="2"/>
        <w:rPr>
          <w:rFonts w:eastAsia="Calibri"/>
          <w:color w:val="auto"/>
          <w:szCs w:val="24"/>
          <w:lang w:eastAsia="en-US"/>
        </w:rPr>
      </w:pPr>
    </w:p>
    <w:p w14:paraId="647B64B8" w14:textId="66C42007" w:rsidR="00545429" w:rsidRP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Para avaliar a atividade antioxidante foi</w:t>
      </w:r>
      <w:r w:rsidR="002A18D9">
        <w:rPr>
          <w:rFonts w:eastAsia="Calibri"/>
          <w:color w:val="auto"/>
          <w:szCs w:val="24"/>
          <w:lang w:eastAsia="en-US"/>
        </w:rPr>
        <w:t xml:space="preserve"> também</w:t>
      </w:r>
      <w:r w:rsidRPr="00545429">
        <w:rPr>
          <w:rFonts w:eastAsia="Calibri"/>
          <w:color w:val="auto"/>
          <w:szCs w:val="24"/>
          <w:lang w:eastAsia="en-US"/>
        </w:rPr>
        <w:t xml:space="preserve"> utilizado o método de captura de radicais DPPH• (2,2-difenil-1-picril-hidrazil), de cor violeta que absorve a 515 nm </w:t>
      </w:r>
      <w:r w:rsidRPr="00545429">
        <w:rPr>
          <w:rFonts w:eastAsia="Calibri"/>
          <w:color w:val="auto"/>
          <w:szCs w:val="24"/>
          <w:lang w:eastAsia="en-US"/>
        </w:rPr>
        <w:fldChar w:fldCharType="begin" w:fldLock="1"/>
      </w:r>
      <w:r w:rsidRPr="00545429">
        <w:rPr>
          <w:rFonts w:eastAsia="Calibri"/>
          <w:color w:val="auto"/>
          <w:szCs w:val="24"/>
          <w:lang w:eastAsia="en-US"/>
        </w:rPr>
        <w:instrText>ADDIN CSL_CITATION { "citationItems" : [ { "id" : "ITEM-1", "itemData" : { "author" : [ { "dropping-particle" : "", "family" : "Sousa", "given" : "Cleyton Marcos De M", "non-dropping-particle" : "", "parse-names" : false, "suffix" : "" }, { "dropping-particle" : "", "family" : "Rocha", "given" : "Hilris", "non-dropping-particle" : "", "parse-names" : false, "suffix" : "" }, { "dropping-particle" : "", "family" : "Vieira-jr", "given" : "Gerardo Magela", "non-dropping-particle" : "", "parse-names" : false, "suffix" : "" }, { "dropping-particle" : "", "family" : "Ayres", "given" : "Mariane Cruz C", "non-dropping-particle" : "", "parse-names" : false, "suffix" : "" }, { "dropping-particle" : "", "family" : "Costa", "given" : "Luis S", "non-dropping-particle" : "", "parse-names" : false, "suffix" : "" }, { "dropping-particle" : "", "family" : "Ara\u00fajo", "given" : "Delton S\u00e9rvulo", "non-dropping-particle" : "", "parse-names" : false, "suffix" : "" }, { "dropping-particle" : "", "family" : "Cavalcante", "given" : "Luis Carlos D", "non-dropping-particle" : "", "parse-names" : false, "suffix" : "" }, { "dropping-particle" : "", "family" : "Barros", "given" : "Elcio Daniel S", "non-dropping-particle" : "", "parse-names" : false, "suffix" : "" }, { "dropping-particle" : "De", "family" : "M", "given" : "Paulo Breitner", "non-dropping-particle" : "", "parse-names" : false, "suffix" : "" }, { "dropping-particle" : "", "family" : "Brand\u00e3o", "given" : "Marcela S", "non-dropping-particle" : "", "parse-names" : false, "suffix" : "" }, { "dropping-particle" : "De", "family" : "Qu\u00edmica", "given" : "Departamento", "non-dropping-particle" : "", "parse-names" : false, "suffix" : "" }, { "dropping-particle" : "", "family" : "Federal", "given" : "Universidade", "non-dropping-particle" : "", "parse-names" : false, "suffix" : "" }, { "dropping-particle" : "", "family" : "Pi", "given" : "Teresina", "non-dropping-particle" : "", "parse-names" : false, "suffix" : "" }, { "dropping-particle" : "", "family" : "Mart", "given" : "Terminalia", "non-dropping-particle" : "", "parse-names" : false, "suffix" : "" }, { "dropping-particle" : "", "family" : "Moore", "given" : "Miller H E", "non-dropping-particle" : "", "parse-names" : false, "suffix" : "" } ], "container-title" : "Quim. Nova", "id" : "ITEM-1", "issue" : "2", "issued" : { "date-parts" : [ [ "2007", "9" ] ] }, "page" : "351-355", "title" : "Total phenolics and antioxidant activity of five medicinal plants", "type" : "article-magazine", "volume" : "30" }, "uris" : [ "http://www.mendeley.com/documents/?uuid=1d9f9a5a-2558-40c9-a640-90759108a1fa" ] } ], "mendeley" : { "formattedCitation" : "(Sousa et al., 2007)", "plainTextFormattedCitation" : "(Sousa et al., 2007)", "previouslyFormattedCitation" : "(Sousa et al., 2007)" }, "properties" : { "noteIndex" : 0 }, "schema" : "https://github.com/citation-style-language/schema/raw/master/csl-citation.json" }</w:instrText>
      </w:r>
      <w:r w:rsidRPr="00545429">
        <w:rPr>
          <w:rFonts w:eastAsia="Calibri"/>
          <w:color w:val="auto"/>
          <w:szCs w:val="24"/>
          <w:lang w:eastAsia="en-US"/>
        </w:rPr>
        <w:fldChar w:fldCharType="separate"/>
      </w:r>
      <w:r w:rsidRPr="00545429">
        <w:rPr>
          <w:rFonts w:eastAsia="Calibri"/>
          <w:noProof/>
          <w:color w:val="auto"/>
          <w:szCs w:val="24"/>
          <w:lang w:eastAsia="en-US"/>
        </w:rPr>
        <w:t>(Sousa et al., 2007)</w:t>
      </w:r>
      <w:r w:rsidRPr="00545429">
        <w:rPr>
          <w:rFonts w:eastAsia="Calibri"/>
          <w:color w:val="auto"/>
          <w:szCs w:val="24"/>
          <w:lang w:eastAsia="en-US"/>
        </w:rPr>
        <w:fldChar w:fldCharType="end"/>
      </w:r>
      <w:r w:rsidRPr="00545429">
        <w:rPr>
          <w:rFonts w:eastAsia="Calibri"/>
          <w:color w:val="auto"/>
          <w:szCs w:val="24"/>
          <w:lang w:eastAsia="en-US"/>
        </w:rPr>
        <w:t xml:space="preserve">. Por ação de um antioxidante, o DPPH• é reduzido gerando difenil-picril-hidralina, de cor amarelo, ao fixar um H• ao antioxidante </w:t>
      </w:r>
      <w:r w:rsidRPr="00545429">
        <w:rPr>
          <w:rFonts w:eastAsia="Calibri"/>
          <w:color w:val="auto"/>
          <w:szCs w:val="24"/>
          <w:lang w:eastAsia="en-US"/>
        </w:rPr>
        <w:fldChar w:fldCharType="begin" w:fldLock="1"/>
      </w:r>
      <w:r w:rsidR="00D73AD0">
        <w:rPr>
          <w:rFonts w:eastAsia="Calibri"/>
          <w:color w:val="auto"/>
          <w:szCs w:val="24"/>
          <w:lang w:eastAsia="en-US"/>
        </w:rPr>
        <w:instrText>ADDIN CSL_CITATION { "citationItems" : [ { "id" : "ITEM-1", "itemData" : { "author" : [ { "dropping-particle" : "", "family" : "Vieira", "given" : "Luanne Morais", "non-dropping-particle" : "", "parse-names" : false, "suffix" : "" }, { "dropping-particle" : "", "family" : "Sousa", "given" : "Marina S\u00e9fora Bezerra Sousa", "non-dropping-particle" : "", "parse-names" : false, "suffix" : "" }, { "dropping-particle" : "", "family" : "Mancini-filho", "given" : "Jorge", "non-dropping-particle" : "", "parse-names" : false, "suffix" : "" }, { "dropping-particle" : "", "family" : "Lima", "given" : "Alessandro", "non-dropping-particle" : "", "parse-names" : false, "suffix" : "" } ], "container-title" : "Rev. Bras. Frutic.", "id" : "ITEM-1", "issue" : "3", "issued" : { "date-parts" : [ [ "2011", "9" ] ] }, "page" : "888-897", "title" : "Fen\u00f3licos totais e capacidade antioxante in vitro de polpa de frutas tropicais", "type" : "article-journal", "volume" : "33" }, "uris" : [ "http://www.mendeley.com/documents/?uuid=fe0dc1a0-bbe2-4f5d-a820-eaa071bcf52c" ] } ], "mendeley" : { "formattedCitation" : "(Vieira, Sousa, Mancini-filho, &amp; Lima, 2011)", "manualFormatting" : "(Vieira et al., 2011)", "plainTextFormattedCitation" : "(Vieira, Sousa, Mancini-filho, &amp; Lima, 2011)", "previouslyFormattedCitation" : "(Vieira, Sousa, Mancini-filho, &amp; Lima, 2011)" }, "properties" : { "noteIndex" : 0 }, "schema" : "https://github.com/citation-style-language/schema/raw/master/csl-citation.json" }</w:instrText>
      </w:r>
      <w:r w:rsidRPr="00545429">
        <w:rPr>
          <w:rFonts w:eastAsia="Calibri"/>
          <w:color w:val="auto"/>
          <w:szCs w:val="24"/>
          <w:lang w:eastAsia="en-US"/>
        </w:rPr>
        <w:fldChar w:fldCharType="separate"/>
      </w:r>
      <w:r w:rsidRPr="00545429">
        <w:rPr>
          <w:rFonts w:eastAsia="Calibri"/>
          <w:noProof/>
          <w:color w:val="auto"/>
          <w:szCs w:val="24"/>
          <w:lang w:eastAsia="en-US"/>
        </w:rPr>
        <w:t>(Viei</w:t>
      </w:r>
      <w:r w:rsidR="00700C0B">
        <w:rPr>
          <w:rFonts w:eastAsia="Calibri"/>
          <w:noProof/>
          <w:color w:val="auto"/>
          <w:szCs w:val="24"/>
          <w:lang w:eastAsia="en-US"/>
        </w:rPr>
        <w:t>ra et al.</w:t>
      </w:r>
      <w:r w:rsidRPr="00545429">
        <w:rPr>
          <w:rFonts w:eastAsia="Calibri"/>
          <w:noProof/>
          <w:color w:val="auto"/>
          <w:szCs w:val="24"/>
          <w:lang w:eastAsia="en-US"/>
        </w:rPr>
        <w:t>, 2011)</w:t>
      </w:r>
      <w:r w:rsidRPr="00545429">
        <w:rPr>
          <w:rFonts w:eastAsia="Calibri"/>
          <w:color w:val="auto"/>
          <w:szCs w:val="24"/>
          <w:lang w:eastAsia="en-US"/>
        </w:rPr>
        <w:fldChar w:fldCharType="end"/>
      </w:r>
      <w:r w:rsidRPr="00545429">
        <w:rPr>
          <w:rFonts w:eastAsia="Calibri"/>
          <w:color w:val="auto"/>
          <w:szCs w:val="24"/>
          <w:lang w:eastAsia="en-US"/>
        </w:rPr>
        <w:t xml:space="preserve">. O consumo do radical livre é monitorizado através do decréscimo da absorvância das soluções com diferentes concentrações </w:t>
      </w:r>
      <w:r w:rsidRPr="00545429">
        <w:rPr>
          <w:rFonts w:eastAsia="Calibri"/>
          <w:color w:val="auto"/>
          <w:szCs w:val="24"/>
          <w:lang w:eastAsia="en-US"/>
        </w:rPr>
        <w:fldChar w:fldCharType="begin" w:fldLock="1"/>
      </w:r>
      <w:r w:rsidRPr="00545429">
        <w:rPr>
          <w:rFonts w:eastAsia="Calibri"/>
          <w:color w:val="auto"/>
          <w:szCs w:val="24"/>
          <w:lang w:eastAsia="en-US"/>
        </w:rPr>
        <w:instrText>ADDIN CSL_CITATION { "citationItems" : [ { "id" : "ITEM-1", "itemData" : { "author" : [ { "dropping-particle" : "", "family" : "Sousa", "given" : "Cleyton Marcos De M", "non-dropping-particle" : "", "parse-names" : false, "suffix" : "" }, { "dropping-particle" : "", "family" : "Rocha", "given" : "Hilris", "non-dropping-particle" : "", "parse-names" : false, "suffix" : "" }, { "dropping-particle" : "", "family" : "Vieira-jr", "given" : "Gerardo Magela", "non-dropping-particle" : "", "parse-names" : false, "suffix" : "" }, { "dropping-particle" : "", "family" : "Ayres", "given" : "Mariane Cruz C", "non-dropping-particle" : "", "parse-names" : false, "suffix" : "" }, { "dropping-particle" : "", "family" : "Costa", "given" : "Luis S", "non-dropping-particle" : "", "parse-names" : false, "suffix" : "" }, { "dropping-particle" : "", "family" : "Ara\u00fajo", "given" : "Delton S\u00e9rvulo", "non-dropping-particle" : "", "parse-names" : false, "suffix" : "" }, { "dropping-particle" : "", "family" : "Cavalcante", "given" : "Luis Carlos D", "non-dropping-particle" : "", "parse-names" : false, "suffix" : "" }, { "dropping-particle" : "", "family" : "Barros", "given" : "Elcio Daniel S", "non-dropping-particle" : "", "parse-names" : false, "suffix" : "" }, { "dropping-particle" : "De", "family" : "M", "given" : "Paulo Breitner", "non-dropping-particle" : "", "parse-names" : false, "suffix" : "" }, { "dropping-particle" : "", "family" : "Brand\u00e3o", "given" : "Marcela S", "non-dropping-particle" : "", "parse-names" : false, "suffix" : "" }, { "dropping-particle" : "De", "family" : "Qu\u00edmica", "given" : "Departamento", "non-dropping-particle" : "", "parse-names" : false, "suffix" : "" }, { "dropping-particle" : "", "family" : "Federal", "given" : "Universidade", "non-dropping-particle" : "", "parse-names" : false, "suffix" : "" }, { "dropping-particle" : "", "family" : "Pi", "given" : "Teresina", "non-dropping-particle" : "", "parse-names" : false, "suffix" : "" }, { "dropping-particle" : "", "family" : "Mart", "given" : "Terminalia", "non-dropping-particle" : "", "parse-names" : false, "suffix" : "" }, { "dropping-particle" : "", "family" : "Moore", "given" : "Miller H E", "non-dropping-particle" : "", "parse-names" : false, "suffix" : "" } ], "container-title" : "Quim. Nova", "id" : "ITEM-1", "issue" : "2", "issued" : { "date-parts" : [ [ "2007", "9" ] ] }, "page" : "351-355", "title" : "Total phenolics and antioxidant activity of five medicinal plants", "type" : "article-magazine", "volume" : "30" }, "uris" : [ "http://www.mendeley.com/documents/?uuid=1d9f9a5a-2558-40c9-a640-90759108a1fa" ] } ], "mendeley" : { "formattedCitation" : "(Sousa et al., 2007)", "plainTextFormattedCitation" : "(Sousa et al., 2007)", "previouslyFormattedCitation" : "(Sousa et al., 2007)" }, "properties" : { "noteIndex" : 0 }, "schema" : "https://github.com/citation-style-language/schema/raw/master/csl-citation.json" }</w:instrText>
      </w:r>
      <w:r w:rsidRPr="00545429">
        <w:rPr>
          <w:rFonts w:eastAsia="Calibri"/>
          <w:color w:val="auto"/>
          <w:szCs w:val="24"/>
          <w:lang w:eastAsia="en-US"/>
        </w:rPr>
        <w:fldChar w:fldCharType="separate"/>
      </w:r>
      <w:r w:rsidRPr="00545429">
        <w:rPr>
          <w:rFonts w:eastAsia="Calibri"/>
          <w:noProof/>
          <w:color w:val="auto"/>
          <w:szCs w:val="24"/>
          <w:lang w:eastAsia="en-US"/>
        </w:rPr>
        <w:t>(Sousa et al., 2007)</w:t>
      </w:r>
      <w:r w:rsidRPr="00545429">
        <w:rPr>
          <w:rFonts w:eastAsia="Calibri"/>
          <w:color w:val="auto"/>
          <w:szCs w:val="24"/>
          <w:lang w:eastAsia="en-US"/>
        </w:rPr>
        <w:fldChar w:fldCharType="end"/>
      </w:r>
      <w:r w:rsidRPr="00545429">
        <w:rPr>
          <w:rFonts w:eastAsia="Calibri"/>
          <w:color w:val="auto"/>
          <w:szCs w:val="24"/>
          <w:lang w:eastAsia="en-US"/>
        </w:rPr>
        <w:t xml:space="preserve">. Dos resultados obtidos podemos determinar a atividade antioxidante, correspondente à quantidade de DPPH consumido pelo antioxidante, através da concentração inibitória </w:t>
      </w:r>
      <w:r w:rsidRPr="00545429">
        <w:rPr>
          <w:rFonts w:eastAsia="Calibri"/>
          <w:color w:val="auto"/>
          <w:szCs w:val="24"/>
          <w:lang w:eastAsia="en-US"/>
        </w:rPr>
        <w:fldChar w:fldCharType="begin" w:fldLock="1"/>
      </w:r>
      <w:r w:rsidRPr="00545429">
        <w:rPr>
          <w:rFonts w:eastAsia="Calibri"/>
          <w:color w:val="auto"/>
          <w:szCs w:val="24"/>
          <w:lang w:eastAsia="en-US"/>
        </w:rPr>
        <w:instrText>ADDIN CSL_CITATION { "citationItems" : [ { "id" : "ITEM-1", "itemData" : { "author" : [ { "dropping-particle" : "", "family" : "Sousa", "given" : "Cleyton Marcos De M", "non-dropping-particle" : "", "parse-names" : false, "suffix" : "" }, { "dropping-particle" : "", "family" : "Rocha", "given" : "Hilris", "non-dropping-particle" : "", "parse-names" : false, "suffix" : "" }, { "dropping-particle" : "", "family" : "Vieira-jr", "given" : "Gerardo Magela", "non-dropping-particle" : "", "parse-names" : false, "suffix" : "" }, { "dropping-particle" : "", "family" : "Ayres", "given" : "Mariane Cruz C", "non-dropping-particle" : "", "parse-names" : false, "suffix" : "" }, { "dropping-particle" : "", "family" : "Costa", "given" : "Luis S", "non-dropping-particle" : "", "parse-names" : false, "suffix" : "" }, { "dropping-particle" : "", "family" : "Ara\u00fajo", "given" : "Delton S\u00e9rvulo", "non-dropping-particle" : "", "parse-names" : false, "suffix" : "" }, { "dropping-particle" : "", "family" : "Cavalcante", "given" : "Luis Carlos D", "non-dropping-particle" : "", "parse-names" : false, "suffix" : "" }, { "dropping-particle" : "", "family" : "Barros", "given" : "Elcio Daniel S", "non-dropping-particle" : "", "parse-names" : false, "suffix" : "" }, { "dropping-particle" : "De", "family" : "M", "given" : "Paulo Breitner", "non-dropping-particle" : "", "parse-names" : false, "suffix" : "" }, { "dropping-particle" : "", "family" : "Brand\u00e3o", "given" : "Marcela S", "non-dropping-particle" : "", "parse-names" : false, "suffix" : "" }, { "dropping-particle" : "De", "family" : "Qu\u00edmica", "given" : "Departamento", "non-dropping-particle" : "", "parse-names" : false, "suffix" : "" }, { "dropping-particle" : "", "family" : "Federal", "given" : "Universidade", "non-dropping-particle" : "", "parse-names" : false, "suffix" : "" }, { "dropping-particle" : "", "family" : "Pi", "given" : "Teresina", "non-dropping-particle" : "", "parse-names" : false, "suffix" : "" }, { "dropping-particle" : "", "family" : "Mart", "given" : "Terminalia", "non-dropping-particle" : "", "parse-names" : false, "suffix" : "" }, { "dropping-particle" : "", "family" : "Moore", "given" : "Miller H E", "non-dropping-particle" : "", "parse-names" : false, "suffix" : "" } ], "container-title" : "Quim. Nova", "id" : "ITEM-1", "issue" : "2", "issued" : { "date-parts" : [ [ "2007", "9" ] ] }, "page" : "351-355", "title" : "Total phenolics and antioxidant activity of five medicinal plants", "type" : "article-magazine", "volume" : "30" }, "uris" : [ "http://www.mendeley.com/documents/?uuid=1d9f9a5a-2558-40c9-a640-90759108a1fa" ] } ], "mendeley" : { "formattedCitation" : "(Sousa et al., 2007)", "plainTextFormattedCitation" : "(Sousa et al., 2007)", "previouslyFormattedCitation" : "(Sousa et al., 2007)" }, "properties" : { "noteIndex" : 0 }, "schema" : "https://github.com/citation-style-language/schema/raw/master/csl-citation.json" }</w:instrText>
      </w:r>
      <w:r w:rsidRPr="00545429">
        <w:rPr>
          <w:rFonts w:eastAsia="Calibri"/>
          <w:color w:val="auto"/>
          <w:szCs w:val="24"/>
          <w:lang w:eastAsia="en-US"/>
        </w:rPr>
        <w:fldChar w:fldCharType="separate"/>
      </w:r>
      <w:r w:rsidRPr="00545429">
        <w:rPr>
          <w:rFonts w:eastAsia="Calibri"/>
          <w:noProof/>
          <w:color w:val="auto"/>
          <w:szCs w:val="24"/>
          <w:lang w:eastAsia="en-US"/>
        </w:rPr>
        <w:t>(Sousa et al., 2007)</w:t>
      </w:r>
      <w:r w:rsidRPr="00545429">
        <w:rPr>
          <w:rFonts w:eastAsia="Calibri"/>
          <w:color w:val="auto"/>
          <w:szCs w:val="24"/>
          <w:lang w:eastAsia="en-US"/>
        </w:rPr>
        <w:fldChar w:fldCharType="end"/>
      </w:r>
      <w:r w:rsidRPr="00545429">
        <w:rPr>
          <w:rFonts w:eastAsia="Calibri"/>
          <w:color w:val="auto"/>
          <w:szCs w:val="24"/>
          <w:lang w:eastAsia="en-US"/>
        </w:rPr>
        <w:t>.</w:t>
      </w:r>
    </w:p>
    <w:p w14:paraId="6CD3D62F" w14:textId="5AD6450E" w:rsidR="00545429" w:rsidRP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Preparou-se uma solução com 0.0012252 g de DPPH</w:t>
      </w:r>
      <w:r w:rsidR="002A18D9">
        <w:rPr>
          <w:rFonts w:eastAsia="Calibri"/>
          <w:color w:val="auto"/>
          <w:szCs w:val="24"/>
          <w:lang w:eastAsia="en-US"/>
        </w:rPr>
        <w:t>, perfazendo o</w:t>
      </w:r>
      <w:r w:rsidRPr="00545429">
        <w:rPr>
          <w:rFonts w:eastAsia="Calibri"/>
          <w:color w:val="auto"/>
          <w:szCs w:val="24"/>
          <w:lang w:eastAsia="en-US"/>
        </w:rPr>
        <w:t xml:space="preserve"> </w:t>
      </w:r>
      <w:r w:rsidR="002A18D9">
        <w:rPr>
          <w:rFonts w:eastAsia="Calibri"/>
          <w:color w:val="auto"/>
          <w:szCs w:val="24"/>
          <w:lang w:eastAsia="en-US"/>
        </w:rPr>
        <w:t xml:space="preserve">volume até </w:t>
      </w:r>
      <w:r w:rsidRPr="00545429">
        <w:rPr>
          <w:rFonts w:eastAsia="Calibri"/>
          <w:color w:val="auto"/>
          <w:szCs w:val="24"/>
          <w:lang w:eastAsia="en-US"/>
        </w:rPr>
        <w:t xml:space="preserve">50 mL </w:t>
      </w:r>
      <w:r w:rsidR="002A18D9">
        <w:rPr>
          <w:rFonts w:eastAsia="Calibri"/>
          <w:color w:val="auto"/>
          <w:szCs w:val="24"/>
          <w:lang w:eastAsia="en-US"/>
        </w:rPr>
        <w:t>com</w:t>
      </w:r>
      <w:r w:rsidR="002A18D9" w:rsidRPr="00545429">
        <w:rPr>
          <w:rFonts w:eastAsia="Calibri"/>
          <w:color w:val="auto"/>
          <w:szCs w:val="24"/>
          <w:lang w:eastAsia="en-US"/>
        </w:rPr>
        <w:t xml:space="preserve"> </w:t>
      </w:r>
      <w:r w:rsidRPr="00545429">
        <w:rPr>
          <w:rFonts w:eastAsia="Calibri"/>
          <w:color w:val="auto"/>
          <w:szCs w:val="24"/>
          <w:lang w:eastAsia="en-US"/>
        </w:rPr>
        <w:t>água</w:t>
      </w:r>
      <w:r w:rsidR="002A18D9">
        <w:rPr>
          <w:rFonts w:eastAsia="Calibri"/>
          <w:color w:val="auto"/>
          <w:szCs w:val="24"/>
          <w:lang w:eastAsia="en-US"/>
        </w:rPr>
        <w:t xml:space="preserve"> destilada</w:t>
      </w:r>
      <w:r w:rsidRPr="00545429">
        <w:rPr>
          <w:rFonts w:eastAsia="Calibri"/>
          <w:color w:val="auto"/>
          <w:szCs w:val="24"/>
          <w:lang w:eastAsia="en-US"/>
        </w:rPr>
        <w:t>. A partir dessa solução é feito um branco com 1850 µL DPPH e 150 µL de água</w:t>
      </w:r>
      <w:r w:rsidR="002A18D9">
        <w:rPr>
          <w:rFonts w:eastAsia="Calibri"/>
          <w:color w:val="auto"/>
          <w:szCs w:val="24"/>
          <w:lang w:eastAsia="en-US"/>
        </w:rPr>
        <w:t xml:space="preserve"> destilada</w:t>
      </w:r>
      <w:r w:rsidRPr="00545429">
        <w:rPr>
          <w:rFonts w:eastAsia="Calibri"/>
          <w:color w:val="auto"/>
          <w:szCs w:val="24"/>
          <w:lang w:eastAsia="en-US"/>
        </w:rPr>
        <w:t>, as outras soluções são feitas com 1850 µL DPPH e 150 µL de amostra.</w:t>
      </w:r>
    </w:p>
    <w:p w14:paraId="15CCC622" w14:textId="77777777" w:rsidR="00545429" w:rsidRP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Fez-se um tempo de espera de 30 minutos, agitou-se e fez-se a leitura no espectrofotómetro a 515 nm. A curva padrão é feita nas concentrações 25, 50, 100, 200 e 250 µM de trolox e lida a percentagem de inibição pela seguinte fórmula:</w:t>
      </w:r>
    </w:p>
    <w:p w14:paraId="6BD9BFF8" w14:textId="77777777" w:rsidR="00545429" w:rsidRPr="00545429" w:rsidRDefault="00545429" w:rsidP="00545429">
      <w:pPr>
        <w:spacing w:after="200" w:line="360" w:lineRule="auto"/>
        <w:ind w:left="0" w:right="0" w:firstLine="0"/>
        <w:rPr>
          <w:color w:val="auto"/>
          <w:szCs w:val="24"/>
          <w:lang w:eastAsia="en-US"/>
        </w:rPr>
      </w:pPr>
      <m:oMathPara>
        <m:oMath>
          <m:r>
            <w:rPr>
              <w:rFonts w:ascii="Cambria Math" w:eastAsia="Calibri" w:hAnsi="Cambria Math"/>
              <w:color w:val="auto"/>
              <w:szCs w:val="24"/>
              <w:lang w:eastAsia="en-US"/>
            </w:rPr>
            <w:lastRenderedPageBreak/>
            <m:t>%inibição da absorvância=</m:t>
          </m:r>
          <m:d>
            <m:dPr>
              <m:ctrlPr>
                <w:rPr>
                  <w:rFonts w:ascii="Cambria Math" w:eastAsia="Calibri" w:hAnsi="Cambria Math"/>
                  <w:i/>
                  <w:color w:val="auto"/>
                  <w:szCs w:val="24"/>
                  <w:lang w:eastAsia="en-US"/>
                </w:rPr>
              </m:ctrlPr>
            </m:dPr>
            <m:e>
              <m:f>
                <m:fPr>
                  <m:ctrlPr>
                    <w:rPr>
                      <w:rFonts w:ascii="Cambria Math" w:eastAsia="Calibri" w:hAnsi="Cambria Math"/>
                      <w:i/>
                      <w:color w:val="auto"/>
                      <w:szCs w:val="24"/>
                      <w:lang w:eastAsia="en-US"/>
                    </w:rPr>
                  </m:ctrlPr>
                </m:fPr>
                <m:num>
                  <m:r>
                    <w:rPr>
                      <w:rFonts w:ascii="Cambria Math" w:eastAsia="Calibri" w:hAnsi="Cambria Math"/>
                      <w:color w:val="auto"/>
                      <w:szCs w:val="24"/>
                      <w:lang w:eastAsia="en-US"/>
                    </w:rPr>
                    <m:t>Ao-A1</m:t>
                  </m:r>
                </m:num>
                <m:den>
                  <m:r>
                    <w:rPr>
                      <w:rFonts w:ascii="Cambria Math" w:eastAsia="Calibri" w:hAnsi="Cambria Math"/>
                      <w:color w:val="auto"/>
                      <w:szCs w:val="24"/>
                      <w:lang w:eastAsia="en-US"/>
                    </w:rPr>
                    <m:t>Ao</m:t>
                  </m:r>
                </m:den>
              </m:f>
            </m:e>
          </m:d>
          <m:r>
            <w:rPr>
              <w:rFonts w:ascii="Cambria Math" w:eastAsia="Calibri" w:hAnsi="Cambria Math"/>
              <w:color w:val="auto"/>
              <w:szCs w:val="24"/>
              <w:lang w:eastAsia="en-US"/>
            </w:rPr>
            <m:t>*100</m:t>
          </m:r>
        </m:oMath>
      </m:oMathPara>
    </w:p>
    <w:p w14:paraId="1BA68116" w14:textId="12570F47" w:rsidR="00545429" w:rsidRPr="00545429" w:rsidRDefault="00545429" w:rsidP="00545429">
      <w:pPr>
        <w:spacing w:after="200" w:line="360" w:lineRule="auto"/>
        <w:ind w:left="0" w:right="0" w:firstLine="0"/>
        <w:rPr>
          <w:color w:val="auto"/>
          <w:szCs w:val="24"/>
          <w:lang w:eastAsia="en-US"/>
        </w:rPr>
      </w:pPr>
      <w:r w:rsidRPr="00545429">
        <w:rPr>
          <w:color w:val="auto"/>
          <w:szCs w:val="24"/>
          <w:lang w:eastAsia="en-US"/>
        </w:rPr>
        <w:t xml:space="preserve">Onde A0 corresponde ao valor de absorvância do </w:t>
      </w:r>
      <w:r w:rsidR="00217C56">
        <w:rPr>
          <w:color w:val="auto"/>
          <w:szCs w:val="24"/>
          <w:lang w:eastAsia="en-US"/>
        </w:rPr>
        <w:t>branco</w:t>
      </w:r>
      <w:r w:rsidRPr="00545429">
        <w:rPr>
          <w:color w:val="auto"/>
          <w:szCs w:val="24"/>
          <w:lang w:eastAsia="en-US"/>
        </w:rPr>
        <w:t xml:space="preserve"> A1 ao valor de absorvância das amostras. </w:t>
      </w:r>
    </w:p>
    <w:p w14:paraId="5DB2E35C" w14:textId="77777777" w:rsidR="003F49B4" w:rsidRDefault="00545429" w:rsidP="003F49B4">
      <w:pPr>
        <w:keepNext/>
        <w:spacing w:after="200" w:line="360" w:lineRule="auto"/>
        <w:ind w:left="0" w:right="0" w:firstLine="0"/>
        <w:jc w:val="center"/>
      </w:pPr>
      <w:r w:rsidRPr="00545429">
        <w:rPr>
          <w:noProof/>
          <w:szCs w:val="24"/>
        </w:rPr>
        <w:drawing>
          <wp:inline distT="0" distB="0" distL="0" distR="0" wp14:anchorId="07F01908" wp14:editId="20FD06A0">
            <wp:extent cx="4429125" cy="279082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2C92D5E" w14:textId="7B04A542" w:rsidR="00545429" w:rsidRPr="00545429" w:rsidRDefault="003F49B4" w:rsidP="003F49B4">
      <w:pPr>
        <w:pStyle w:val="Legenda"/>
        <w:jc w:val="center"/>
        <w:rPr>
          <w:rFonts w:eastAsia="Calibri"/>
          <w:i w:val="0"/>
          <w:iCs w:val="0"/>
          <w:color w:val="auto"/>
          <w:lang w:eastAsia="en-US"/>
        </w:rPr>
      </w:pPr>
      <w:bookmarkStart w:id="263" w:name="_Toc479333881"/>
      <w:r>
        <w:t xml:space="preserve">Figura </w:t>
      </w:r>
      <w:r w:rsidR="00805B44">
        <w:fldChar w:fldCharType="begin"/>
      </w:r>
      <w:r w:rsidR="00805B44">
        <w:instrText xml:space="preserve"> SEQ Figura \* ARABIC </w:instrText>
      </w:r>
      <w:r w:rsidR="00805B44">
        <w:fldChar w:fldCharType="separate"/>
      </w:r>
      <w:r w:rsidR="005F28B4">
        <w:rPr>
          <w:noProof/>
        </w:rPr>
        <w:t>6</w:t>
      </w:r>
      <w:r w:rsidR="00805B44">
        <w:rPr>
          <w:noProof/>
        </w:rPr>
        <w:fldChar w:fldCharType="end"/>
      </w:r>
      <w:bookmarkStart w:id="264" w:name="_Toc462710011"/>
      <w:r w:rsidR="00545429" w:rsidRPr="00545429">
        <w:rPr>
          <w:rFonts w:eastAsia="Calibri"/>
          <w:i w:val="0"/>
          <w:iCs w:val="0"/>
          <w:color w:val="auto"/>
          <w:lang w:eastAsia="en-US"/>
        </w:rPr>
        <w:t xml:space="preserve"> – </w:t>
      </w:r>
      <w:r w:rsidR="004638D6">
        <w:rPr>
          <w:rFonts w:eastAsia="Calibri"/>
          <w:i w:val="0"/>
          <w:iCs w:val="0"/>
          <w:color w:val="auto"/>
          <w:lang w:eastAsia="en-US"/>
        </w:rPr>
        <w:t>R</w:t>
      </w:r>
      <w:r w:rsidR="00545429" w:rsidRPr="00545429">
        <w:rPr>
          <w:rFonts w:eastAsia="Calibri"/>
          <w:i w:val="0"/>
          <w:iCs w:val="0"/>
          <w:color w:val="auto"/>
          <w:lang w:eastAsia="en-US"/>
        </w:rPr>
        <w:t>eta padrão para determinação do DPPH</w:t>
      </w:r>
      <w:bookmarkEnd w:id="263"/>
      <w:bookmarkEnd w:id="264"/>
    </w:p>
    <w:p w14:paraId="6ADE4D08" w14:textId="3A749259" w:rsidR="00545429" w:rsidRPr="00545429" w:rsidRDefault="00545429" w:rsidP="00545429">
      <w:pPr>
        <w:spacing w:after="200" w:line="360" w:lineRule="auto"/>
        <w:ind w:left="0" w:right="0" w:firstLine="0"/>
        <w:rPr>
          <w:color w:val="auto"/>
          <w:szCs w:val="24"/>
          <w:vertAlign w:val="subscript"/>
          <w:lang w:eastAsia="en-US"/>
        </w:rPr>
      </w:pPr>
      <w:r w:rsidRPr="00545429">
        <w:rPr>
          <w:color w:val="auto"/>
          <w:szCs w:val="24"/>
          <w:lang w:eastAsia="en-US"/>
        </w:rPr>
        <w:t>Os resultados foram expressos</w:t>
      </w:r>
      <w:r w:rsidRPr="00545429">
        <w:rPr>
          <w:color w:val="auto"/>
          <w:szCs w:val="24"/>
          <w:vertAlign w:val="subscript"/>
          <w:lang w:eastAsia="en-US"/>
        </w:rPr>
        <w:t xml:space="preserve"> </w:t>
      </w:r>
      <w:r w:rsidRPr="00545429">
        <w:rPr>
          <w:rFonts w:eastAsia="Calibri"/>
          <w:color w:val="auto"/>
          <w:szCs w:val="24"/>
          <w:lang w:eastAsia="en-US"/>
        </w:rPr>
        <w:t>em µM de trolox, calculados atrav</w:t>
      </w:r>
      <w:r w:rsidR="00034C18">
        <w:rPr>
          <w:rFonts w:eastAsia="Calibri"/>
          <w:color w:val="auto"/>
          <w:szCs w:val="24"/>
          <w:lang w:eastAsia="en-US"/>
        </w:rPr>
        <w:t xml:space="preserve">és da equação da reta (Figura </w:t>
      </w:r>
      <w:r w:rsidR="002521DE">
        <w:rPr>
          <w:rFonts w:eastAsia="Calibri"/>
          <w:color w:val="auto"/>
          <w:szCs w:val="24"/>
          <w:lang w:eastAsia="en-US"/>
        </w:rPr>
        <w:t>6).</w:t>
      </w:r>
    </w:p>
    <w:p w14:paraId="6D3E1C99" w14:textId="77777777" w:rsidR="00545429" w:rsidRDefault="00545429" w:rsidP="00545429">
      <w:pPr>
        <w:keepNext/>
        <w:keepLines/>
        <w:spacing w:before="40" w:after="0"/>
        <w:outlineLvl w:val="2"/>
        <w:rPr>
          <w:rFonts w:eastAsiaTheme="majorEastAsia"/>
          <w:color w:val="auto"/>
          <w:szCs w:val="24"/>
          <w:lang w:eastAsia="en-US"/>
        </w:rPr>
      </w:pPr>
    </w:p>
    <w:p w14:paraId="02DBFA9E" w14:textId="7C3CCA9F" w:rsidR="00545429" w:rsidRPr="003F49B4" w:rsidRDefault="008474A4" w:rsidP="003F49B4">
      <w:pPr>
        <w:pStyle w:val="Cabealho3"/>
        <w:rPr>
          <w:rFonts w:ascii="Times New Roman" w:hAnsi="Times New Roman" w:cs="Times New Roman"/>
          <w:color w:val="auto"/>
          <w:lang w:eastAsia="en-US"/>
        </w:rPr>
      </w:pPr>
      <w:bookmarkStart w:id="265" w:name="_Toc479154849"/>
      <w:r>
        <w:rPr>
          <w:rFonts w:ascii="Times New Roman" w:hAnsi="Times New Roman" w:cs="Times New Roman"/>
          <w:color w:val="auto"/>
          <w:lang w:eastAsia="en-US"/>
        </w:rPr>
        <w:t>2.3.3</w:t>
      </w:r>
      <w:r w:rsidR="00210EF1">
        <w:rPr>
          <w:rFonts w:ascii="Times New Roman" w:hAnsi="Times New Roman" w:cs="Times New Roman"/>
          <w:color w:val="auto"/>
          <w:lang w:eastAsia="en-US"/>
        </w:rPr>
        <w:t xml:space="preserve"> Flavonó</w:t>
      </w:r>
      <w:r w:rsidR="00545429" w:rsidRPr="003F49B4">
        <w:rPr>
          <w:rFonts w:ascii="Times New Roman" w:hAnsi="Times New Roman" w:cs="Times New Roman"/>
          <w:color w:val="auto"/>
          <w:lang w:eastAsia="en-US"/>
        </w:rPr>
        <w:t>ides</w:t>
      </w:r>
      <w:bookmarkEnd w:id="265"/>
    </w:p>
    <w:p w14:paraId="4C2A3B91" w14:textId="77777777" w:rsidR="00545429" w:rsidRPr="00545429" w:rsidRDefault="00545429" w:rsidP="00545429">
      <w:pPr>
        <w:keepNext/>
        <w:keepLines/>
        <w:spacing w:before="40" w:after="0"/>
        <w:outlineLvl w:val="2"/>
        <w:rPr>
          <w:rFonts w:eastAsiaTheme="majorEastAsia"/>
          <w:color w:val="auto"/>
          <w:szCs w:val="24"/>
          <w:lang w:eastAsia="en-US"/>
        </w:rPr>
      </w:pPr>
    </w:p>
    <w:p w14:paraId="0B3BFE0D" w14:textId="2732CBFA" w:rsidR="00545429" w:rsidRPr="00BC6116" w:rsidRDefault="00210EF1" w:rsidP="00545429">
      <w:pPr>
        <w:spacing w:after="200" w:line="360" w:lineRule="auto"/>
        <w:ind w:left="0" w:right="0" w:firstLine="0"/>
        <w:rPr>
          <w:color w:val="auto"/>
          <w:szCs w:val="24"/>
          <w:lang w:eastAsia="en-US"/>
        </w:rPr>
      </w:pPr>
      <w:r>
        <w:rPr>
          <w:color w:val="auto"/>
          <w:szCs w:val="24"/>
          <w:lang w:eastAsia="en-US"/>
        </w:rPr>
        <w:t>Os flavonó</w:t>
      </w:r>
      <w:r w:rsidR="00545429" w:rsidRPr="00545429">
        <w:rPr>
          <w:color w:val="auto"/>
          <w:szCs w:val="24"/>
          <w:lang w:eastAsia="en-US"/>
        </w:rPr>
        <w:t xml:space="preserve">ides são compostos fenólicos isolados a partir de fruta, vegetais, grão, flores, chá e vinho </w:t>
      </w:r>
      <w:r w:rsidR="00545429" w:rsidRPr="00545429">
        <w:rPr>
          <w:color w:val="auto"/>
          <w:szCs w:val="24"/>
          <w:lang w:eastAsia="en-US"/>
        </w:rPr>
        <w:fldChar w:fldCharType="begin" w:fldLock="1"/>
      </w:r>
      <w:r w:rsidR="004C0F6E">
        <w:rPr>
          <w:color w:val="auto"/>
          <w:szCs w:val="24"/>
          <w:lang w:eastAsia="en-US"/>
        </w:rPr>
        <w:instrText>ADDIN CSL_CITATION { "citationItems" : [ { "id" : "ITEM-1", "itemData" : { "author" : [ { "dropping-particle" : "", "family" : "Nijveldt", "given" : "Robert J.", "non-dropping-particle" : "", "parse-names" : false, "suffix" : "" }, { "dropping-particle" : "", "family" : "Nood", "given" : "Els", "non-dropping-particle" : "Van", "parse-names" : false, "suffix" : "" }, { "dropping-particle" : "", "family" : "Hoorn", "given" : "Danny EC", "non-dropping-particle" : "Van", "parse-names" : false, "suffix" : "" }, { "dropping-particle" : "", "family" : "Boelens", "given" : "Petra G.", "non-dropping-particle" : "", "parse-names" : false, "suffix" : "" }, { "dropping-particle" : "", "family" : "Norren", "given" : "Klasle", "non-dropping-particle" : "Van", "parse-names" : false, "suffix" : "" }, { "dropping-particle" : "", "family" : "Leeuwen", "given" : "Paul AM", "non-dropping-particle" : "Van", "parse-names" : false, "suffix" : "" } ], "container-title" : "Am J Clin Nutr", "id" : "ITEM-1", "issue" : "4", "issued" : { "date-parts" : [ [ "2001" ] ] }, "page" : "418-425", "title" : "Flavonoids: a review of probable mechanisms of action and potencial applications", "type" : "article-journal", "volume" : "74" }, "uris" : [ "http://www.mendeley.com/documents/?uuid=785c2e9e-452e-4f0c-929b-e43c25d33802" ] } ], "mendeley" : { "formattedCitation" : "(Nijveldt et al., 2001)", "plainTextFormattedCitation" : "(Nijveldt et al., 2001)", "previouslyFormattedCitation" : "(Nijveldt et al., 2001)" }, "properties" : { "noteIndex" : 0 }, "schema" : "https://github.com/citation-style-language/schema/raw/master/csl-citation.json" }</w:instrText>
      </w:r>
      <w:r w:rsidR="00545429" w:rsidRPr="00545429">
        <w:rPr>
          <w:color w:val="auto"/>
          <w:szCs w:val="24"/>
          <w:lang w:eastAsia="en-US"/>
        </w:rPr>
        <w:fldChar w:fldCharType="separate"/>
      </w:r>
      <w:r w:rsidR="00545429" w:rsidRPr="00545429">
        <w:rPr>
          <w:noProof/>
          <w:color w:val="auto"/>
          <w:szCs w:val="24"/>
          <w:lang w:eastAsia="en-US"/>
        </w:rPr>
        <w:t>(Nijveldt et al., 2001)</w:t>
      </w:r>
      <w:r w:rsidR="00545429" w:rsidRPr="00545429">
        <w:rPr>
          <w:color w:val="auto"/>
          <w:szCs w:val="24"/>
          <w:lang w:eastAsia="en-US"/>
        </w:rPr>
        <w:fldChar w:fldCharType="end"/>
      </w:r>
      <w:r w:rsidR="00545429" w:rsidRPr="00545429">
        <w:rPr>
          <w:color w:val="auto"/>
          <w:szCs w:val="24"/>
          <w:lang w:eastAsia="en-US"/>
        </w:rPr>
        <w:t>.</w:t>
      </w:r>
    </w:p>
    <w:p w14:paraId="178DF112" w14:textId="7FE1C0C0" w:rsidR="00545429" w:rsidRPr="00545429" w:rsidRDefault="00545429" w:rsidP="00545429">
      <w:pPr>
        <w:spacing w:after="200" w:line="360" w:lineRule="auto"/>
        <w:ind w:left="0" w:right="0" w:firstLine="0"/>
        <w:rPr>
          <w:color w:val="auto"/>
          <w:szCs w:val="24"/>
          <w:lang w:eastAsia="en-US"/>
        </w:rPr>
      </w:pPr>
      <w:r w:rsidRPr="00BC6116">
        <w:rPr>
          <w:color w:val="auto"/>
          <w:szCs w:val="24"/>
          <w:lang w:eastAsia="en-US"/>
        </w:rPr>
        <w:t xml:space="preserve"> </w:t>
      </w:r>
      <w:r w:rsidRPr="00545429">
        <w:rPr>
          <w:color w:val="auto"/>
          <w:szCs w:val="24"/>
          <w:lang w:eastAsia="en-US"/>
        </w:rPr>
        <w:t xml:space="preserve">Possuem um amplo espectro de atividade biológica, mas o seu maior interesse tem sido dedicado à propriedade de atuar como antioxidante. Estes têm a capacidade de reduzir a formação de radicais livres, ou seja, vão estabilizar as espécies reativas de oxigénio resultando num radical menos reativo </w:t>
      </w:r>
      <w:r w:rsidRPr="00545429">
        <w:rPr>
          <w:color w:val="auto"/>
          <w:szCs w:val="24"/>
          <w:lang w:eastAsia="en-US"/>
        </w:rPr>
        <w:fldChar w:fldCharType="begin" w:fldLock="1"/>
      </w:r>
      <w:r w:rsidR="004C0F6E">
        <w:rPr>
          <w:color w:val="auto"/>
          <w:szCs w:val="24"/>
          <w:lang w:eastAsia="en-US"/>
        </w:rPr>
        <w:instrText>ADDIN CSL_CITATION { "citationItems" : [ { "id" : "ITEM-1", "itemData" : { "author" : [ { "dropping-particle" : "", "family" : "Pietta", "given" : "Pier-Giorgio", "non-dropping-particle" : "", "parse-names" : false, "suffix" : "" } ], "container-title" : "Journal of natural products", "id" : "ITEM-1", "issue" : "7", "issued" : { "date-parts" : [ [ "2000" ] ] }, "page" : "1035-1042", "title" : "Flavonoids as antioxidants", "type" : "article-journal", "volume" : "633" }, "uris" : [ "http://www.mendeley.com/documents/?uuid=d51bb894-f19e-42f0-87d0-39abf4fc7ef6" ] }, { "id" : "ITEM-2", "itemData" : { "author" : [ { "dropping-particle" : "", "family" : "Nijveldt", "given" : "Robert J.", "non-dropping-particle" : "", "parse-names" : false, "suffix" : "" }, { "dropping-particle" : "", "family" : "Nood", "given" : "Els", "non-dropping-particle" : "Van", "parse-names" : false, "suffix" : "" }, { "dropping-particle" : "", "family" : "Hoorn", "given" : "Danny EC", "non-dropping-particle" : "Van", "parse-names" : false, "suffix" : "" }, { "dropping-particle" : "", "family" : "Boelens", "given" : "Petra G.", "non-dropping-particle" : "", "parse-names" : false, "suffix" : "" }, { "dropping-particle" : "", "family" : "Norren", "given" : "Klasle", "non-dropping-particle" : "Van", "parse-names" : false, "suffix" : "" }, { "dropping-particle" : "", "family" : "Leeuwen", "given" : "Paul AM", "non-dropping-particle" : "Van", "parse-names" : false, "suffix" : "" } ], "container-title" : "Am J Clin Nutr", "id" : "ITEM-2", "issue" : "4", "issued" : { "date-parts" : [ [ "2001" ] ] }, "page" : "418-425", "title" : "Flavonoids: a review of probable mechanisms of action and potencial applications", "type" : "article-journal", "volume" : "74" }, "uris" : [ "http://www.mendeley.com/documents/?uuid=785c2e9e-452e-4f0c-929b-e43c25d33802" ] } ], "mendeley" : { "formattedCitation" : "(Nijveldt et al., 2001; Pietta, 2000)", "plainTextFormattedCitation" : "(Nijveldt et al., 2001; Pietta, 2000)", "previouslyFormattedCitation" : "(Nijveldt et al., 2001; Pietta, 2000)" }, "properties" : { "noteIndex" : 0 }, "schema" : "https://github.com/citation-style-language/schema/raw/master/csl-citation.json" }</w:instrText>
      </w:r>
      <w:r w:rsidRPr="00545429">
        <w:rPr>
          <w:color w:val="auto"/>
          <w:szCs w:val="24"/>
          <w:lang w:eastAsia="en-US"/>
        </w:rPr>
        <w:fldChar w:fldCharType="separate"/>
      </w:r>
      <w:r w:rsidRPr="00545429">
        <w:rPr>
          <w:noProof/>
          <w:color w:val="auto"/>
          <w:szCs w:val="24"/>
          <w:lang w:eastAsia="en-US"/>
        </w:rPr>
        <w:t>(Nijveldt et al., 2001; Pietta, 2000)</w:t>
      </w:r>
      <w:r w:rsidRPr="00545429">
        <w:rPr>
          <w:color w:val="auto"/>
          <w:szCs w:val="24"/>
          <w:lang w:eastAsia="en-US"/>
        </w:rPr>
        <w:fldChar w:fldCharType="end"/>
      </w:r>
      <w:r w:rsidRPr="00545429">
        <w:rPr>
          <w:color w:val="auto"/>
          <w:szCs w:val="24"/>
          <w:lang w:eastAsia="en-US"/>
        </w:rPr>
        <w:t>.</w:t>
      </w:r>
    </w:p>
    <w:p w14:paraId="3B6609CB" w14:textId="77777777" w:rsidR="00545429" w:rsidRPr="00545429" w:rsidRDefault="00545429" w:rsidP="00545429">
      <w:pPr>
        <w:spacing w:after="200" w:line="360" w:lineRule="auto"/>
        <w:ind w:left="0" w:right="0" w:firstLine="0"/>
        <w:jc w:val="left"/>
        <w:rPr>
          <w:rFonts w:eastAsia="Calibri"/>
          <w:color w:val="auto"/>
          <w:szCs w:val="24"/>
          <w:lang w:eastAsia="en-US"/>
        </w:rPr>
      </w:pPr>
      <w:r w:rsidRPr="00545429">
        <w:rPr>
          <w:color w:val="auto"/>
          <w:szCs w:val="24"/>
          <w:lang w:eastAsia="en-US"/>
        </w:rPr>
        <w:t xml:space="preserve">Para dar inicio, misturou-se 100 </w:t>
      </w:r>
      <w:r w:rsidRPr="00545429">
        <w:rPr>
          <w:rFonts w:eastAsia="Calibri"/>
          <w:color w:val="auto"/>
          <w:szCs w:val="24"/>
          <w:lang w:eastAsia="en-US"/>
        </w:rPr>
        <w:t xml:space="preserve">µL de cloreto de alumínio </w:t>
      </w:r>
      <w:r w:rsidRPr="00545429">
        <w:rPr>
          <w:color w:val="auto"/>
          <w:sz w:val="25"/>
          <w:szCs w:val="25"/>
          <w:lang w:val="pt-BR" w:eastAsia="pt-BR"/>
        </w:rPr>
        <w:t>(AlCl</w:t>
      </w:r>
      <w:r w:rsidRPr="00545429">
        <w:rPr>
          <w:color w:val="auto"/>
          <w:sz w:val="14"/>
          <w:szCs w:val="14"/>
          <w:lang w:val="pt-BR" w:eastAsia="pt-BR"/>
        </w:rPr>
        <w:t>3</w:t>
      </w:r>
      <w:r w:rsidRPr="00545429">
        <w:rPr>
          <w:color w:val="auto"/>
          <w:sz w:val="25"/>
          <w:szCs w:val="25"/>
          <w:lang w:val="pt-BR" w:eastAsia="pt-BR"/>
        </w:rPr>
        <w:t>) a</w:t>
      </w:r>
      <w:r w:rsidRPr="00545429">
        <w:rPr>
          <w:rFonts w:eastAsia="Calibri"/>
          <w:color w:val="auto"/>
          <w:szCs w:val="24"/>
          <w:lang w:eastAsia="en-US"/>
        </w:rPr>
        <w:t xml:space="preserve"> 2% com 100µL de amostra que posteriormente foi feita a leitura no </w:t>
      </w:r>
      <w:r w:rsidRPr="00545429">
        <w:rPr>
          <w:rFonts w:eastAsia="Calibri"/>
          <w:color w:val="auto"/>
          <w:szCs w:val="24"/>
          <w:lang w:val="pt-BR" w:eastAsia="en-US"/>
        </w:rPr>
        <w:t>Ultrospect 1100 pro</w:t>
      </w:r>
      <w:r w:rsidRPr="00545429">
        <w:rPr>
          <w:rFonts w:eastAsia="Calibri"/>
          <w:color w:val="auto"/>
          <w:szCs w:val="24"/>
          <w:lang w:eastAsia="en-US"/>
        </w:rPr>
        <w:t xml:space="preserve"> a um comprimento de onda de 420 nm.</w:t>
      </w:r>
    </w:p>
    <w:p w14:paraId="54928ACF" w14:textId="77777777" w:rsidR="00545429" w:rsidRPr="00545429" w:rsidRDefault="00545429" w:rsidP="00545429">
      <w:pPr>
        <w:tabs>
          <w:tab w:val="left" w:pos="7743"/>
        </w:tabs>
        <w:spacing w:after="200" w:line="360" w:lineRule="auto"/>
        <w:ind w:left="0" w:right="0" w:firstLine="0"/>
        <w:rPr>
          <w:rFonts w:eastAsia="Calibri"/>
          <w:color w:val="auto"/>
          <w:szCs w:val="24"/>
          <w:lang w:eastAsia="en-US"/>
        </w:rPr>
      </w:pPr>
      <w:r w:rsidRPr="00545429">
        <w:rPr>
          <w:rFonts w:eastAsia="Calibri"/>
          <w:color w:val="auto"/>
          <w:szCs w:val="24"/>
          <w:lang w:eastAsia="en-US"/>
        </w:rPr>
        <w:lastRenderedPageBreak/>
        <w:t>O padrão utilizado foi a quercetina nas concentrações 0.04, 0.02, 0.01, 0.005, 0.0025, 0.00125, 0.000625, 0.0003125, 0.0001562, e 0.0000781 mg/mL.</w:t>
      </w:r>
    </w:p>
    <w:p w14:paraId="14E40DC7" w14:textId="77777777" w:rsidR="003F49B4" w:rsidRDefault="00545429" w:rsidP="003F49B4">
      <w:pPr>
        <w:keepNext/>
        <w:spacing w:after="200" w:line="276" w:lineRule="auto"/>
        <w:ind w:left="0" w:right="0" w:firstLine="0"/>
        <w:jc w:val="center"/>
      </w:pPr>
      <w:r w:rsidRPr="00545429">
        <w:rPr>
          <w:noProof/>
        </w:rPr>
        <w:drawing>
          <wp:inline distT="0" distB="0" distL="0" distR="0" wp14:anchorId="25F3DCE0" wp14:editId="176D526C">
            <wp:extent cx="4572000" cy="2743200"/>
            <wp:effectExtent l="0" t="0" r="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BF15853" w14:textId="7CC565B1" w:rsidR="00545429" w:rsidRPr="00545429" w:rsidRDefault="003F49B4" w:rsidP="003F49B4">
      <w:pPr>
        <w:pStyle w:val="Legenda"/>
        <w:jc w:val="center"/>
        <w:rPr>
          <w:rFonts w:eastAsia="Calibri"/>
          <w:i w:val="0"/>
          <w:iCs w:val="0"/>
          <w:color w:val="auto"/>
          <w:szCs w:val="24"/>
          <w:lang w:eastAsia="en-US"/>
        </w:rPr>
      </w:pPr>
      <w:bookmarkStart w:id="266" w:name="_Toc479333882"/>
      <w:r>
        <w:t xml:space="preserve">Figura </w:t>
      </w:r>
      <w:r w:rsidR="00805B44">
        <w:fldChar w:fldCharType="begin"/>
      </w:r>
      <w:r w:rsidR="00805B44">
        <w:instrText xml:space="preserve"> SEQ Figura \* ARABIC </w:instrText>
      </w:r>
      <w:r w:rsidR="00805B44">
        <w:fldChar w:fldCharType="separate"/>
      </w:r>
      <w:r w:rsidR="005F28B4">
        <w:rPr>
          <w:noProof/>
        </w:rPr>
        <w:t>7</w:t>
      </w:r>
      <w:r w:rsidR="00805B44">
        <w:rPr>
          <w:noProof/>
        </w:rPr>
        <w:fldChar w:fldCharType="end"/>
      </w:r>
      <w:bookmarkStart w:id="267" w:name="_Toc462710012"/>
      <w:proofErr w:type="gramStart"/>
      <w:r w:rsidR="00545429" w:rsidRPr="00545429">
        <w:rPr>
          <w:i w:val="0"/>
          <w:iCs w:val="0"/>
        </w:rPr>
        <w:t xml:space="preserve"> </w:t>
      </w:r>
      <w:r w:rsidR="00545429" w:rsidRPr="00545429">
        <w:rPr>
          <w:rFonts w:eastAsia="Calibri"/>
          <w:i w:val="0"/>
          <w:iCs w:val="0"/>
          <w:color w:val="auto"/>
          <w:szCs w:val="24"/>
          <w:lang w:eastAsia="en-US"/>
        </w:rPr>
        <w:t xml:space="preserve"> -</w:t>
      </w:r>
      <w:r w:rsidR="004638D6">
        <w:rPr>
          <w:rFonts w:eastAsia="Calibri"/>
          <w:i w:val="0"/>
          <w:iCs w:val="0"/>
          <w:color w:val="auto"/>
          <w:szCs w:val="24"/>
          <w:lang w:eastAsia="en-US"/>
        </w:rPr>
        <w:t>R</w:t>
      </w:r>
      <w:r w:rsidR="00545429" w:rsidRPr="00545429">
        <w:rPr>
          <w:rFonts w:eastAsia="Calibri"/>
          <w:i w:val="0"/>
          <w:iCs w:val="0"/>
          <w:color w:val="auto"/>
          <w:szCs w:val="24"/>
          <w:lang w:eastAsia="en-US"/>
        </w:rPr>
        <w:t>eta</w:t>
      </w:r>
      <w:proofErr w:type="gramEnd"/>
      <w:r w:rsidR="00545429" w:rsidRPr="00545429">
        <w:rPr>
          <w:rFonts w:eastAsia="Calibri"/>
          <w:i w:val="0"/>
          <w:iCs w:val="0"/>
          <w:color w:val="auto"/>
          <w:szCs w:val="24"/>
          <w:lang w:eastAsia="en-US"/>
        </w:rPr>
        <w:t xml:space="preserve"> padrão para determinação dos flavonoides</w:t>
      </w:r>
      <w:bookmarkEnd w:id="266"/>
      <w:bookmarkEnd w:id="267"/>
    </w:p>
    <w:p w14:paraId="44D61123" w14:textId="40EE33DE" w:rsid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 xml:space="preserve">O conteúdo total de flavonoides foi expresso em mg equivalentes de quercetina por </w:t>
      </w:r>
      <w:r w:rsidR="00B62C2E">
        <w:rPr>
          <w:rFonts w:eastAsia="Calibri"/>
          <w:color w:val="auto"/>
          <w:szCs w:val="24"/>
          <w:lang w:eastAsia="en-US"/>
        </w:rPr>
        <w:t xml:space="preserve">100 </w:t>
      </w:r>
      <w:r w:rsidRPr="00545429">
        <w:rPr>
          <w:rFonts w:eastAsia="Calibri"/>
          <w:color w:val="auto"/>
          <w:szCs w:val="24"/>
          <w:lang w:eastAsia="en-US"/>
        </w:rPr>
        <w:t>grama</w:t>
      </w:r>
      <w:r w:rsidR="00B62C2E">
        <w:rPr>
          <w:rFonts w:eastAsia="Calibri"/>
          <w:color w:val="auto"/>
          <w:szCs w:val="24"/>
          <w:lang w:eastAsia="en-US"/>
        </w:rPr>
        <w:t>s</w:t>
      </w:r>
      <w:r w:rsidRPr="00545429">
        <w:rPr>
          <w:rFonts w:eastAsia="Calibri"/>
          <w:color w:val="auto"/>
          <w:szCs w:val="24"/>
          <w:lang w:eastAsia="en-US"/>
        </w:rPr>
        <w:t xml:space="preserve"> d</w:t>
      </w:r>
      <w:r w:rsidR="002521DE">
        <w:rPr>
          <w:rFonts w:eastAsia="Calibri"/>
          <w:color w:val="auto"/>
          <w:szCs w:val="24"/>
          <w:lang w:eastAsia="en-US"/>
        </w:rPr>
        <w:t>e extrato das amostras (Figura 7</w:t>
      </w:r>
      <w:r w:rsidRPr="00545429">
        <w:rPr>
          <w:rFonts w:eastAsia="Calibri"/>
          <w:color w:val="auto"/>
          <w:szCs w:val="24"/>
          <w:lang w:eastAsia="en-US"/>
        </w:rPr>
        <w:t>)</w:t>
      </w:r>
      <w:r w:rsidR="0075120E">
        <w:rPr>
          <w:rFonts w:eastAsia="Calibri"/>
          <w:color w:val="auto"/>
          <w:szCs w:val="24"/>
          <w:lang w:eastAsia="en-US"/>
        </w:rPr>
        <w:t>.</w:t>
      </w:r>
      <w:r w:rsidRPr="00545429">
        <w:rPr>
          <w:rFonts w:eastAsia="Calibri"/>
          <w:color w:val="auto"/>
          <w:szCs w:val="24"/>
          <w:lang w:eastAsia="en-US"/>
        </w:rPr>
        <w:t xml:space="preserve"> </w:t>
      </w:r>
    </w:p>
    <w:p w14:paraId="635C5344" w14:textId="77777777" w:rsidR="00545429" w:rsidRDefault="00545429" w:rsidP="00545429">
      <w:pPr>
        <w:keepNext/>
        <w:keepLines/>
        <w:spacing w:before="40" w:after="0"/>
        <w:outlineLvl w:val="2"/>
        <w:rPr>
          <w:rFonts w:eastAsia="Calibri"/>
          <w:color w:val="auto"/>
          <w:szCs w:val="24"/>
          <w:lang w:val="pt-BR" w:eastAsia="en-US"/>
        </w:rPr>
      </w:pPr>
    </w:p>
    <w:p w14:paraId="67F33297" w14:textId="67EF4A1D" w:rsidR="00545429" w:rsidRPr="003F49B4" w:rsidRDefault="008474A4" w:rsidP="003F49B4">
      <w:pPr>
        <w:pStyle w:val="Cabealho3"/>
        <w:rPr>
          <w:rFonts w:ascii="Times New Roman" w:eastAsia="Calibri" w:hAnsi="Times New Roman" w:cs="Times New Roman"/>
          <w:color w:val="auto"/>
          <w:lang w:val="pt-BR" w:eastAsia="en-US"/>
        </w:rPr>
      </w:pPr>
      <w:bookmarkStart w:id="268" w:name="_Toc479154850"/>
      <w:r>
        <w:rPr>
          <w:rFonts w:ascii="Times New Roman" w:eastAsia="Calibri" w:hAnsi="Times New Roman" w:cs="Times New Roman"/>
          <w:color w:val="auto"/>
          <w:lang w:val="pt-BR" w:eastAsia="en-US"/>
        </w:rPr>
        <w:t>2.3.4</w:t>
      </w:r>
      <w:r w:rsidR="00545429" w:rsidRPr="003F49B4">
        <w:rPr>
          <w:rFonts w:ascii="Times New Roman" w:eastAsia="Calibri" w:hAnsi="Times New Roman" w:cs="Times New Roman"/>
          <w:color w:val="auto"/>
          <w:lang w:val="pt-BR" w:eastAsia="en-US"/>
        </w:rPr>
        <w:t xml:space="preserve"> Betalaínas</w:t>
      </w:r>
      <w:bookmarkEnd w:id="268"/>
    </w:p>
    <w:p w14:paraId="77E8B15B" w14:textId="77777777" w:rsidR="00545429" w:rsidRPr="00545429" w:rsidRDefault="00545429" w:rsidP="00545429">
      <w:pPr>
        <w:rPr>
          <w:rFonts w:eastAsia="Calibri"/>
          <w:lang w:val="pt-BR" w:eastAsia="en-US"/>
        </w:rPr>
      </w:pPr>
    </w:p>
    <w:p w14:paraId="2B9808EB" w14:textId="77777777" w:rsidR="004E4759" w:rsidRPr="004E4759" w:rsidRDefault="004E4759" w:rsidP="004E4759">
      <w:pPr>
        <w:spacing w:after="200" w:line="360" w:lineRule="auto"/>
        <w:ind w:left="0" w:right="0" w:firstLine="0"/>
        <w:rPr>
          <w:rFonts w:eastAsia="Calibri"/>
          <w:color w:val="auto"/>
          <w:szCs w:val="24"/>
          <w:lang w:eastAsia="en-US"/>
        </w:rPr>
      </w:pPr>
      <w:r w:rsidRPr="004E4759">
        <w:rPr>
          <w:rFonts w:eastAsia="Calibri"/>
          <w:color w:val="auto"/>
          <w:szCs w:val="24"/>
          <w:lang w:eastAsia="en-US"/>
        </w:rPr>
        <w:t>Para se quantificar o teor das betalaínas foi usado um método espectrofotométrico.</w:t>
      </w:r>
    </w:p>
    <w:p w14:paraId="0ED018DC" w14:textId="44DDF0A8" w:rsidR="004E4759" w:rsidRPr="004E4759" w:rsidRDefault="004E4759" w:rsidP="004E4759">
      <w:pPr>
        <w:spacing w:after="200" w:line="360" w:lineRule="auto"/>
        <w:ind w:left="0" w:right="0" w:firstLine="0"/>
        <w:rPr>
          <w:rFonts w:eastAsia="Calibri"/>
          <w:color w:val="auto"/>
          <w:szCs w:val="24"/>
          <w:lang w:eastAsia="en-US"/>
        </w:rPr>
      </w:pPr>
      <w:r w:rsidRPr="004E4759">
        <w:rPr>
          <w:rFonts w:eastAsia="Calibri"/>
          <w:color w:val="auto"/>
          <w:szCs w:val="24"/>
          <w:lang w:eastAsia="en-US"/>
        </w:rPr>
        <w:t xml:space="preserve">Na realização deste método usamos 0.1g de amostra liofilizada em 2 mL de água destilada. Foi feita uma agitação num vortéx por 2 minutos e centrifugado por 10 minutos a 12000 r.p.m. Seguiu-se a leitura no espectrofotómetro a 535 nm para se quantificar as betacianinas e a 483 nm as betaxianinas. Para determinar as concentrações de betalaínas calculamos a partir da seguinte fórmula </w:t>
      </w:r>
      <w:sdt>
        <w:sdtPr>
          <w:rPr>
            <w:rFonts w:eastAsia="Calibri"/>
            <w:color w:val="auto"/>
            <w:szCs w:val="24"/>
            <w:lang w:eastAsia="en-US"/>
          </w:rPr>
          <w:id w:val="-345479977"/>
          <w:citation/>
        </w:sdtPr>
        <w:sdtEndPr/>
        <w:sdtContent>
          <w:r w:rsidRPr="004E4759">
            <w:rPr>
              <w:rFonts w:eastAsia="Calibri"/>
              <w:color w:val="auto"/>
              <w:szCs w:val="24"/>
              <w:lang w:eastAsia="en-US"/>
            </w:rPr>
            <w:fldChar w:fldCharType="begin"/>
          </w:r>
          <w:r w:rsidRPr="004E4759">
            <w:rPr>
              <w:rFonts w:eastAsia="Calibri"/>
              <w:color w:val="auto"/>
              <w:szCs w:val="24"/>
              <w:lang w:eastAsia="en-US"/>
            </w:rPr>
            <w:instrText xml:space="preserve"> CITATION Cas08 \l 2070 </w:instrText>
          </w:r>
          <w:r w:rsidRPr="004E4759">
            <w:rPr>
              <w:rFonts w:eastAsia="Calibri"/>
              <w:color w:val="auto"/>
              <w:szCs w:val="24"/>
              <w:lang w:eastAsia="en-US"/>
            </w:rPr>
            <w:fldChar w:fldCharType="separate"/>
          </w:r>
          <w:r w:rsidRPr="004E4759">
            <w:rPr>
              <w:rFonts w:eastAsia="Calibri"/>
              <w:noProof/>
              <w:color w:val="auto"/>
              <w:szCs w:val="24"/>
              <w:lang w:eastAsia="en-US"/>
            </w:rPr>
            <w:t xml:space="preserve"> (Castellanos-Santiago &amp; Yahia, 2008)</w:t>
          </w:r>
          <w:r w:rsidRPr="004E4759">
            <w:rPr>
              <w:rFonts w:eastAsia="Calibri"/>
              <w:color w:val="auto"/>
              <w:szCs w:val="24"/>
              <w:lang w:eastAsia="en-US"/>
            </w:rPr>
            <w:fldChar w:fldCharType="end"/>
          </w:r>
        </w:sdtContent>
      </w:sdt>
    </w:p>
    <w:p w14:paraId="605675AE" w14:textId="77777777" w:rsidR="004E4759" w:rsidRPr="004E4759" w:rsidRDefault="004E4759" w:rsidP="004E4759">
      <w:pPr>
        <w:spacing w:after="200" w:line="360" w:lineRule="auto"/>
        <w:ind w:left="0" w:right="0" w:firstLine="0"/>
        <w:rPr>
          <w:color w:val="auto"/>
          <w:szCs w:val="24"/>
          <w:lang w:eastAsia="en-US"/>
        </w:rPr>
      </w:pPr>
      <m:oMathPara>
        <m:oMath>
          <m:r>
            <w:rPr>
              <w:rFonts w:ascii="Cambria Math" w:eastAsia="Calibri" w:hAnsi="Cambria Math"/>
              <w:color w:val="auto"/>
              <w:szCs w:val="24"/>
              <w:lang w:eastAsia="en-US"/>
            </w:rPr>
            <m:t>CB=</m:t>
          </m:r>
          <m:f>
            <m:fPr>
              <m:ctrlPr>
                <w:rPr>
                  <w:rFonts w:ascii="Cambria Math" w:eastAsia="Calibri" w:hAnsi="Cambria Math"/>
                  <w:i/>
                  <w:color w:val="auto"/>
                  <w:szCs w:val="24"/>
                  <w:lang w:eastAsia="en-US"/>
                </w:rPr>
              </m:ctrlPr>
            </m:fPr>
            <m:num>
              <m:r>
                <w:rPr>
                  <w:rFonts w:ascii="Cambria Math" w:eastAsia="Calibri" w:hAnsi="Cambria Math"/>
                  <w:color w:val="auto"/>
                  <w:szCs w:val="24"/>
                  <w:lang w:eastAsia="en-US"/>
                </w:rPr>
                <m:t>ABS*DF*MW*Vd</m:t>
              </m:r>
            </m:num>
            <m:den>
              <m:r>
                <w:rPr>
                  <w:rFonts w:ascii="Cambria Math" w:eastAsia="Calibri" w:hAnsi="Cambria Math"/>
                  <w:color w:val="auto"/>
                  <w:szCs w:val="24"/>
                  <w:lang w:eastAsia="en-US"/>
                </w:rPr>
                <m:t>ɛ*L*Wd</m:t>
              </m:r>
            </m:den>
          </m:f>
        </m:oMath>
      </m:oMathPara>
    </w:p>
    <w:p w14:paraId="6FED892C" w14:textId="77777777" w:rsidR="004E4759" w:rsidRDefault="004E4759" w:rsidP="004E4759">
      <w:pPr>
        <w:spacing w:after="200" w:line="360" w:lineRule="auto"/>
        <w:ind w:left="0" w:right="0" w:firstLine="0"/>
        <w:rPr>
          <w:rFonts w:eastAsia="Calibri"/>
          <w:color w:val="auto"/>
          <w:szCs w:val="24"/>
          <w:lang w:eastAsia="en-US"/>
        </w:rPr>
      </w:pPr>
      <w:r w:rsidRPr="004E4759">
        <w:rPr>
          <w:color w:val="auto"/>
          <w:szCs w:val="24"/>
          <w:lang w:eastAsia="en-US"/>
        </w:rPr>
        <w:t xml:space="preserve">Onde ABS corresponde à absorvância (535 ou 483 nm), DF corresponde ao fator de diluição, MW corresponde ao peso molecular (550 ou 308 g/mol), Vd corresponde ao </w:t>
      </w:r>
      <w:r w:rsidRPr="004E4759">
        <w:rPr>
          <w:color w:val="auto"/>
          <w:szCs w:val="24"/>
          <w:lang w:eastAsia="en-US"/>
        </w:rPr>
        <w:lastRenderedPageBreak/>
        <w:t>volume da solução, ɛ corresponde ao coeficiente de extinção molecular, L ao comprimento da cuvete (1cm) e Wd corresponde ao pesa da amostra</w:t>
      </w:r>
    </w:p>
    <w:p w14:paraId="06B44B95" w14:textId="77777777" w:rsidR="00545429" w:rsidRDefault="00545429" w:rsidP="00545429">
      <w:pPr>
        <w:spacing w:after="200" w:line="360" w:lineRule="auto"/>
        <w:ind w:left="0" w:right="0" w:firstLine="0"/>
        <w:rPr>
          <w:rFonts w:eastAsia="Calibri"/>
          <w:color w:val="auto"/>
          <w:szCs w:val="24"/>
          <w:lang w:val="pt-BR" w:eastAsia="en-US"/>
        </w:rPr>
      </w:pPr>
    </w:p>
    <w:p w14:paraId="1788EF4D" w14:textId="1A21449D" w:rsidR="004E4759" w:rsidRDefault="004E4759" w:rsidP="00166370">
      <w:pPr>
        <w:pStyle w:val="Cabealho3"/>
        <w:rPr>
          <w:rFonts w:ascii="Times New Roman" w:hAnsi="Times New Roman" w:cs="Times New Roman"/>
          <w:color w:val="auto"/>
          <w:lang w:eastAsia="en-US"/>
        </w:rPr>
      </w:pPr>
      <w:bookmarkStart w:id="269" w:name="_Toc462709787"/>
      <w:bookmarkStart w:id="270" w:name="_Toc479154851"/>
      <w:r w:rsidRPr="004E4759">
        <w:rPr>
          <w:rFonts w:ascii="Times New Roman" w:hAnsi="Times New Roman" w:cs="Times New Roman"/>
          <w:color w:val="auto"/>
          <w:lang w:eastAsia="en-US"/>
        </w:rPr>
        <w:t>2.2.6 Taninos</w:t>
      </w:r>
      <w:bookmarkEnd w:id="269"/>
      <w:bookmarkEnd w:id="270"/>
    </w:p>
    <w:p w14:paraId="0951F688" w14:textId="77777777" w:rsidR="00166370" w:rsidRPr="00166370" w:rsidRDefault="00166370" w:rsidP="00166370">
      <w:pPr>
        <w:rPr>
          <w:lang w:eastAsia="en-US"/>
        </w:rPr>
      </w:pPr>
    </w:p>
    <w:p w14:paraId="7B512786" w14:textId="6EA24D3C" w:rsidR="004E4759" w:rsidRDefault="004E4759" w:rsidP="004E4759">
      <w:pPr>
        <w:spacing w:after="200" w:line="360" w:lineRule="auto"/>
        <w:ind w:left="0" w:right="0" w:firstLine="0"/>
        <w:rPr>
          <w:color w:val="auto"/>
          <w:szCs w:val="24"/>
          <w:lang w:eastAsia="en-US"/>
        </w:rPr>
      </w:pPr>
      <w:r w:rsidRPr="004E4759">
        <w:rPr>
          <w:color w:val="auto"/>
          <w:szCs w:val="24"/>
          <w:lang w:eastAsia="en-US"/>
        </w:rPr>
        <w:t xml:space="preserve">Para a realização análise de taninos condensados foi usado o método da vanilina em meio metanólico descrito por </w:t>
      </w:r>
      <w:r w:rsidRPr="004E4759">
        <w:rPr>
          <w:color w:val="auto"/>
          <w:szCs w:val="24"/>
          <w:lang w:eastAsia="en-US"/>
        </w:rPr>
        <w:fldChar w:fldCharType="begin" w:fldLock="1"/>
      </w:r>
      <w:r w:rsidRPr="004E4759">
        <w:rPr>
          <w:color w:val="auto"/>
          <w:szCs w:val="24"/>
          <w:lang w:eastAsia="en-US"/>
        </w:rPr>
        <w:instrText>ADDIN CSL_CITATION { "citationItems" : [ { "id" : "ITEM-1", "itemData" : { "ISBN" : "972-31-0913-1", "author" : [ { "dropping-particle" : "", "family" : "Costa", "given" : "Alo\u00edso Fernandes", "non-dropping-particle" : "", "parse-names" : false, "suffix" : "" } ], "edition" : "3\u00ba", "editor" : [ { "dropping-particle" : "", "family" : "Cunha", "given" : "A. Proen\u00e7a", "non-dropping-particle" : "", "parse-names" : false, "suffix" : "" } ], "id" : "ITEM-1", "issued" : { "date-parts" : [ [ "2000" ] ] }, "number-of-pages" : "635-636", "publisher" : "Funda\u00e7\u00e3o calouste gulbenkian", "publisher-place" : "Coimbra", "title" : "Farmacognosia", "type" : "book" }, "uris" : [ "http://www.mendeley.com/documents/?uuid=66970565-cf42-46b1-8b78-179806b82b06" ] } ], "mendeley" : { "formattedCitation" : "(Costa, 2000)", "manualFormatting" : "Costa (2000)", "plainTextFormattedCitation" : "(Costa, 2000)", "previouslyFormattedCitation" : "(Costa, 2000)"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Costa (2000)</w:t>
      </w:r>
      <w:r w:rsidRPr="004E4759">
        <w:rPr>
          <w:color w:val="auto"/>
          <w:szCs w:val="24"/>
          <w:lang w:eastAsia="en-US"/>
        </w:rPr>
        <w:fldChar w:fldCharType="end"/>
      </w:r>
      <w:r w:rsidRPr="004E4759">
        <w:rPr>
          <w:color w:val="auto"/>
          <w:szCs w:val="24"/>
          <w:lang w:eastAsia="en-US"/>
        </w:rPr>
        <w:t xml:space="preserve">. Este método é usado para detetar uma gama mais reduzida de compostos fenólicos embora possa reconhecer flavonoides </w:t>
      </w:r>
      <w:r w:rsidRPr="004E4759">
        <w:rPr>
          <w:color w:val="auto"/>
          <w:szCs w:val="24"/>
          <w:lang w:eastAsia="en-US"/>
        </w:rPr>
        <w:fldChar w:fldCharType="begin" w:fldLock="1"/>
      </w:r>
      <w:r w:rsidR="004C0F6E">
        <w:rPr>
          <w:color w:val="auto"/>
          <w:szCs w:val="24"/>
          <w:lang w:eastAsia="en-US"/>
        </w:rPr>
        <w:instrText>ADDIN CSL_CITATION { "citationItems" : [ { "id" : "ITEM-1", "itemData" : { "author" : [ { "dropping-particle" : "", "family" : "Rocha", "given" : "Wesley Silveira", "non-dropping-particle" : "", "parse-names" : false, "suffix" : "" }, { "dropping-particle" : "", "family" : "Lopes", "given" : "Renata Miranda", "non-dropping-particle" : "", "parse-names" : false, "suffix" : "" }, { "dropping-particle" : "", "family" : "Silva", "given" : "Dijalma Barbosa", "non-dropping-particle" : "", "parse-names" : false, "suffix" : "" }, { "dropping-particle" : "", "family" : "Vieira", "given" : "Roberto Fontes", "non-dropping-particle" : "", "parse-names" : false, "suffix" : "" }, { "dropping-particle" : "", "family" : "Silva", "given" : "Josseate Padilha", "non-dropping-particle" : "", "parse-names" : false, "suffix" : "" }, { "dropping-particle" : "", "family" : "Agostini-Costa", "given" : "T\u00e2nia de Silveira", "non-dropping-particle" : "", "parse-names" : false, "suffix" : "" } ], "container-title" : "Rev. Bras. Frutic.", "id" : "ITEM-1", "issue" : "4", "issued" : { "date-parts" : [ [ "2011", "12" ] ] }, "page" : "1215-1221", "title" : "Compostos fen\u00f3licos totais e taninos condensados e frutas nativas do cerrado", "type" : "article-journal", "volume" : "33" }, "uris" : [ "http://www.mendeley.com/documents/?uuid=7af8d1c3-3c44-46c7-8f8d-8d817dd88410" ] } ], "mendeley" : { "formattedCitation" : "(Rocha et al., 2011)", "plainTextFormattedCitation" : "(Rocha et al., 2011)", "previouslyFormattedCitation" : "(Rocha et al., 2011)"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(Rocha et al., 2011)</w:t>
      </w:r>
      <w:r w:rsidRPr="004E4759">
        <w:rPr>
          <w:color w:val="auto"/>
          <w:szCs w:val="24"/>
          <w:lang w:eastAsia="en-US"/>
        </w:rPr>
        <w:fldChar w:fldCharType="end"/>
      </w:r>
      <w:r w:rsidRPr="004E4759">
        <w:rPr>
          <w:color w:val="auto"/>
          <w:szCs w:val="24"/>
          <w:lang w:eastAsia="en-US"/>
        </w:rPr>
        <w:t xml:space="preserve">. Neste método, as catequinas (leucoantocianidinas) e os taninos condensados (proantocianidinas) reagem na presença de vanilina e HCl produzindo um produto de condensação vermelho que é detetado espectrofotometricamente </w:t>
      </w:r>
      <w:r w:rsidRPr="004E4759">
        <w:rPr>
          <w:color w:val="auto"/>
          <w:szCs w:val="24"/>
          <w:lang w:eastAsia="en-US"/>
        </w:rPr>
        <w:fldChar w:fldCharType="begin" w:fldLock="1"/>
      </w:r>
      <w:r w:rsidR="004C0F6E">
        <w:rPr>
          <w:color w:val="auto"/>
          <w:szCs w:val="24"/>
          <w:lang w:eastAsia="en-US"/>
        </w:rPr>
        <w:instrText>ADDIN CSL_CITATION { "citationItems" : [ { "id" : "ITEM-1", "itemData" : { "author" : [ { "dropping-particle" : "", "family" : "Rocha", "given" : "Wesley Silveira", "non-dropping-particle" : "", "parse-names" : false, "suffix" : "" }, { "dropping-particle" : "", "family" : "Lopes", "given" : "Renata Miranda", "non-dropping-particle" : "", "parse-names" : false, "suffix" : "" }, { "dropping-particle" : "", "family" : "Silva", "given" : "Dijalma Barbosa", "non-dropping-particle" : "", "parse-names" : false, "suffix" : "" }, { "dropping-particle" : "", "family" : "Vieira", "given" : "Roberto Fontes", "non-dropping-particle" : "", "parse-names" : false, "suffix" : "" }, { "dropping-particle" : "", "family" : "Silva", "given" : "Josseate Padilha", "non-dropping-particle" : "", "parse-names" : false, "suffix" : "" }, { "dropping-particle" : "", "family" : "Agostini-Costa", "given" : "T\u00e2nia de Silveira", "non-dropping-particle" : "", "parse-names" : false, "suffix" : "" } ], "container-title" : "Rev. Bras. Frutic.", "id" : "ITEM-1", "issue" : "4", "issued" : { "date-parts" : [ [ "2011", "12" ] ] }, "page" : "1215-1221", "title" : "Compostos fen\u00f3licos totais e taninos condensados e frutas nativas do cerrado", "type" : "article-journal", "volume" : "33" }, "uris" : [ "http://www.mendeley.com/documents/?uuid=7af8d1c3-3c44-46c7-8f8d-8d817dd88410" ] } ], "mendeley" : { "formattedCitation" : "(Rocha et al., 2011)", "plainTextFormattedCitation" : "(Rocha et al., 2011)", "previouslyFormattedCitation" : "(Rocha et al., 2011)" }, "properties" : { "noteIndex" : 0 }, "schema" : "https://github.com/citation-style-language/schema/raw/master/csl-citation.json" }</w:instrText>
      </w:r>
      <w:r w:rsidRPr="004E4759">
        <w:rPr>
          <w:color w:val="auto"/>
          <w:szCs w:val="24"/>
          <w:lang w:eastAsia="en-US"/>
        </w:rPr>
        <w:fldChar w:fldCharType="separate"/>
      </w:r>
      <w:r w:rsidRPr="004E4759">
        <w:rPr>
          <w:noProof/>
          <w:color w:val="auto"/>
          <w:szCs w:val="24"/>
          <w:lang w:eastAsia="en-US"/>
        </w:rPr>
        <w:t>(Rocha et al., 2011)</w:t>
      </w:r>
      <w:r w:rsidRPr="004E4759">
        <w:rPr>
          <w:color w:val="auto"/>
          <w:szCs w:val="24"/>
          <w:lang w:eastAsia="en-US"/>
        </w:rPr>
        <w:fldChar w:fldCharType="end"/>
      </w:r>
      <w:r>
        <w:rPr>
          <w:color w:val="auto"/>
          <w:szCs w:val="24"/>
          <w:lang w:eastAsia="en-US"/>
        </w:rPr>
        <w:t>.</w:t>
      </w:r>
    </w:p>
    <w:p w14:paraId="7366359D" w14:textId="77777777" w:rsidR="004E4759" w:rsidRPr="004E4759" w:rsidRDefault="004E4759" w:rsidP="004E4759">
      <w:pPr>
        <w:spacing w:after="200" w:line="360" w:lineRule="auto"/>
        <w:ind w:left="0" w:right="0" w:firstLine="0"/>
        <w:rPr>
          <w:color w:val="auto"/>
          <w:szCs w:val="24"/>
          <w:lang w:eastAsia="en-US"/>
        </w:rPr>
      </w:pPr>
      <w:r w:rsidRPr="004E4759">
        <w:rPr>
          <w:color w:val="auto"/>
          <w:szCs w:val="24"/>
          <w:lang w:eastAsia="en-US"/>
        </w:rPr>
        <w:t>Foi preparado um reagente que contém partes iguais de metanol com 8% HCl e de metanol com 1% de vanilina.</w:t>
      </w:r>
    </w:p>
    <w:p w14:paraId="3323C4A4" w14:textId="77777777" w:rsidR="004E4759" w:rsidRPr="004E4759" w:rsidRDefault="004E4759" w:rsidP="004E4759">
      <w:pPr>
        <w:spacing w:after="200" w:line="360" w:lineRule="auto"/>
        <w:ind w:left="0" w:right="0" w:firstLine="0"/>
        <w:rPr>
          <w:color w:val="auto"/>
          <w:szCs w:val="24"/>
          <w:lang w:eastAsia="en-US"/>
        </w:rPr>
      </w:pPr>
      <w:r w:rsidRPr="004E4759">
        <w:rPr>
          <w:color w:val="auto"/>
          <w:szCs w:val="24"/>
          <w:lang w:eastAsia="en-US"/>
        </w:rPr>
        <w:t>Pa</w:t>
      </w:r>
      <w:r w:rsidR="00404928">
        <w:rPr>
          <w:color w:val="auto"/>
          <w:szCs w:val="24"/>
          <w:lang w:eastAsia="en-US"/>
        </w:rPr>
        <w:t>ra proceder a sua determinação foi</w:t>
      </w:r>
      <w:r w:rsidRPr="004E4759">
        <w:rPr>
          <w:color w:val="auto"/>
          <w:szCs w:val="24"/>
          <w:lang w:eastAsia="en-US"/>
        </w:rPr>
        <w:t xml:space="preserve"> usado 1 ml da solução que fora extraída por metanol a 100% e colocada a 30ᵒC em banho-maria, os tubos de ensaio onde se encontram as soluções foram revestidos com papel de alumínio e adicionado, no tempo zero, 5 mL de reagente e misturado. Foi mantido a 30ᵒC por 20 minutos e medida a absorvância a 500 nm.</w:t>
      </w:r>
    </w:p>
    <w:p w14:paraId="7E3BA41C" w14:textId="3C41A753" w:rsidR="004E4759" w:rsidRPr="004E4759" w:rsidRDefault="004E4759" w:rsidP="004E4759">
      <w:pPr>
        <w:spacing w:after="200" w:line="360" w:lineRule="auto"/>
        <w:ind w:left="0" w:right="0" w:firstLine="0"/>
        <w:rPr>
          <w:color w:val="auto"/>
          <w:szCs w:val="24"/>
          <w:lang w:eastAsia="en-US"/>
        </w:rPr>
      </w:pPr>
      <w:r w:rsidRPr="004E4759">
        <w:rPr>
          <w:color w:val="auto"/>
          <w:szCs w:val="24"/>
          <w:lang w:eastAsia="en-US"/>
        </w:rPr>
        <w:t xml:space="preserve"> O padrão utilizado nesta experiência foi a catequina nas concentrações 5, 2.5, 1.25, 0.625 e 0.3125 mg/mL, obtendo-se a seguinte curva padrão</w:t>
      </w:r>
      <w:r w:rsidR="00166370">
        <w:rPr>
          <w:color w:val="auto"/>
          <w:szCs w:val="24"/>
          <w:lang w:eastAsia="en-US"/>
        </w:rPr>
        <w:t xml:space="preserve"> (F</w:t>
      </w:r>
      <w:r w:rsidR="002521DE">
        <w:rPr>
          <w:color w:val="auto"/>
          <w:szCs w:val="24"/>
          <w:lang w:eastAsia="en-US"/>
        </w:rPr>
        <w:t>igura 8).</w:t>
      </w:r>
    </w:p>
    <w:p w14:paraId="5113D2E3" w14:textId="77777777" w:rsidR="004E4759" w:rsidRDefault="004E4759" w:rsidP="004E4759">
      <w:pPr>
        <w:keepNext/>
        <w:spacing w:after="200" w:line="360" w:lineRule="auto"/>
        <w:ind w:left="0" w:right="0" w:firstLine="0"/>
      </w:pPr>
      <w:r>
        <w:rPr>
          <w:noProof/>
        </w:rPr>
        <w:lastRenderedPageBreak/>
        <w:drawing>
          <wp:inline distT="0" distB="0" distL="0" distR="0" wp14:anchorId="5AB3DAB2" wp14:editId="40D9CBFC">
            <wp:extent cx="462915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08E2D1A" w14:textId="5E558B40" w:rsidR="004E4759" w:rsidRDefault="004E4759" w:rsidP="004E4759">
      <w:pPr>
        <w:pStyle w:val="Legenda"/>
        <w:rPr>
          <w:rFonts w:eastAsia="Calibri"/>
          <w:color w:val="auto"/>
          <w:szCs w:val="24"/>
          <w:lang w:eastAsia="en-US"/>
        </w:rPr>
      </w:pPr>
      <w:bookmarkStart w:id="271" w:name="_Toc479333883"/>
      <w:r>
        <w:t xml:space="preserve">Figura </w:t>
      </w:r>
      <w:r w:rsidR="00805B44">
        <w:fldChar w:fldCharType="begin"/>
      </w:r>
      <w:r w:rsidR="00805B44">
        <w:instrText xml:space="preserve"> SEQ Figura \* ARABIC </w:instrText>
      </w:r>
      <w:r w:rsidR="00805B44">
        <w:fldChar w:fldCharType="separate"/>
      </w:r>
      <w:r w:rsidR="005F28B4">
        <w:rPr>
          <w:noProof/>
        </w:rPr>
        <w:t>8</w:t>
      </w:r>
      <w:r w:rsidR="00805B44">
        <w:rPr>
          <w:noProof/>
        </w:rPr>
        <w:fldChar w:fldCharType="end"/>
      </w:r>
      <w:r>
        <w:t xml:space="preserve"> </w:t>
      </w:r>
      <w:r w:rsidRPr="008E2EF4">
        <w:rPr>
          <w:i w:val="0"/>
          <w:sz w:val="20"/>
        </w:rPr>
        <w:t xml:space="preserve">- </w:t>
      </w:r>
      <w:r w:rsidR="004638D6">
        <w:rPr>
          <w:rFonts w:eastAsia="Calibri"/>
          <w:i w:val="0"/>
          <w:color w:val="auto"/>
          <w:sz w:val="20"/>
          <w:szCs w:val="24"/>
          <w:lang w:eastAsia="en-US"/>
        </w:rPr>
        <w:t>R</w:t>
      </w:r>
      <w:r w:rsidRPr="008E2EF4">
        <w:rPr>
          <w:rFonts w:eastAsia="Calibri"/>
          <w:i w:val="0"/>
          <w:color w:val="auto"/>
          <w:sz w:val="20"/>
          <w:szCs w:val="24"/>
          <w:lang w:eastAsia="en-US"/>
        </w:rPr>
        <w:t>eta padrão para determinação dos taninos</w:t>
      </w:r>
      <w:bookmarkEnd w:id="271"/>
    </w:p>
    <w:p w14:paraId="696501BB" w14:textId="77777777" w:rsidR="004E4759" w:rsidRDefault="004E4759" w:rsidP="004E4759">
      <w:pPr>
        <w:rPr>
          <w:rFonts w:eastAsia="Calibri"/>
          <w:lang w:eastAsia="en-US"/>
        </w:rPr>
      </w:pPr>
    </w:p>
    <w:p w14:paraId="6300411E" w14:textId="5B4CD931" w:rsidR="004E4759" w:rsidRPr="004E4759" w:rsidRDefault="004E4759" w:rsidP="004E4759">
      <w:pPr>
        <w:spacing w:after="200" w:line="360" w:lineRule="auto"/>
        <w:ind w:left="0" w:right="0" w:firstLine="0"/>
        <w:rPr>
          <w:rFonts w:eastAsia="Calibri"/>
          <w:color w:val="auto"/>
          <w:szCs w:val="24"/>
          <w:lang w:val="pt-BR" w:eastAsia="en-US"/>
        </w:rPr>
      </w:pPr>
      <w:r w:rsidRPr="004E4759">
        <w:rPr>
          <w:rFonts w:eastAsia="Calibri"/>
          <w:color w:val="auto"/>
          <w:szCs w:val="24"/>
          <w:lang w:val="pt-BR" w:eastAsia="en-US"/>
        </w:rPr>
        <w:t>Para se proceder ao cálculo dos taninos condensados utilizou-se a equação da reta padrão apresentada e foram obtidos os resultados expressos em equivalentes de c</w:t>
      </w:r>
      <w:r w:rsidR="00B62C2E">
        <w:rPr>
          <w:rFonts w:eastAsia="Calibri"/>
          <w:color w:val="auto"/>
          <w:szCs w:val="24"/>
          <w:lang w:val="pt-BR" w:eastAsia="en-US"/>
        </w:rPr>
        <w:t xml:space="preserve">atequina (em miligramas) por </w:t>
      </w:r>
      <w:r w:rsidRPr="004E4759">
        <w:rPr>
          <w:rFonts w:eastAsia="Calibri"/>
          <w:color w:val="auto"/>
          <w:szCs w:val="24"/>
          <w:lang w:val="pt-BR" w:eastAsia="en-US"/>
        </w:rPr>
        <w:t>g</w:t>
      </w:r>
      <w:r w:rsidR="00B62C2E">
        <w:rPr>
          <w:rFonts w:eastAsia="Calibri"/>
          <w:color w:val="auto"/>
          <w:szCs w:val="24"/>
          <w:lang w:val="pt-BR" w:eastAsia="en-US"/>
        </w:rPr>
        <w:t>rama</w:t>
      </w:r>
      <w:r w:rsidRPr="004E4759">
        <w:rPr>
          <w:rFonts w:eastAsia="Calibri"/>
          <w:color w:val="auto"/>
          <w:szCs w:val="24"/>
          <w:lang w:val="pt-BR" w:eastAsia="en-US"/>
        </w:rPr>
        <w:t xml:space="preserve"> de peso fresco da amostra.</w:t>
      </w:r>
    </w:p>
    <w:p w14:paraId="1BCF0D91" w14:textId="77777777" w:rsidR="004E4759" w:rsidRPr="00545429" w:rsidRDefault="004E4759" w:rsidP="004E4759">
      <w:pPr>
        <w:spacing w:after="200" w:line="360" w:lineRule="auto"/>
        <w:ind w:left="0" w:right="0" w:firstLine="0"/>
        <w:rPr>
          <w:rFonts w:eastAsia="Calibri"/>
          <w:color w:val="auto"/>
          <w:szCs w:val="24"/>
          <w:lang w:val="pt-BR" w:eastAsia="en-US"/>
        </w:rPr>
      </w:pPr>
    </w:p>
    <w:p w14:paraId="71483C34" w14:textId="2AD58D3E" w:rsidR="00545429" w:rsidRPr="00882CE6" w:rsidRDefault="008474A4" w:rsidP="004E4759">
      <w:pPr>
        <w:pStyle w:val="Cabealho3"/>
        <w:rPr>
          <w:rFonts w:ascii="Times New Roman" w:eastAsia="Calibri" w:hAnsi="Times New Roman" w:cs="Times New Roman"/>
          <w:color w:val="auto"/>
          <w:lang w:eastAsia="en-US"/>
        </w:rPr>
      </w:pPr>
      <w:bookmarkStart w:id="272" w:name="_Toc479154852"/>
      <w:r>
        <w:rPr>
          <w:rFonts w:ascii="Times New Roman" w:eastAsia="Calibri" w:hAnsi="Times New Roman" w:cs="Times New Roman"/>
          <w:color w:val="auto"/>
          <w:lang w:eastAsia="en-US"/>
        </w:rPr>
        <w:t>2.3.6</w:t>
      </w:r>
      <w:r w:rsidR="00545429" w:rsidRPr="00882CE6">
        <w:rPr>
          <w:rFonts w:ascii="Times New Roman" w:eastAsia="Calibri" w:hAnsi="Times New Roman" w:cs="Times New Roman"/>
          <w:color w:val="auto"/>
          <w:lang w:eastAsia="en-US"/>
        </w:rPr>
        <w:t xml:space="preserve">. </w:t>
      </w:r>
      <w:r w:rsidR="007366C5" w:rsidRPr="00882CE6">
        <w:rPr>
          <w:rFonts w:ascii="Times New Roman" w:eastAsia="Calibri" w:hAnsi="Times New Roman" w:cs="Times New Roman"/>
          <w:color w:val="auto"/>
          <w:lang w:eastAsia="en-US"/>
        </w:rPr>
        <w:t>Ácidos orgânicos</w:t>
      </w:r>
      <w:bookmarkEnd w:id="272"/>
      <w:r w:rsidR="007366C5" w:rsidRPr="00882CE6">
        <w:rPr>
          <w:rFonts w:ascii="Times New Roman" w:eastAsia="Calibri" w:hAnsi="Times New Roman" w:cs="Times New Roman"/>
          <w:color w:val="auto"/>
          <w:lang w:eastAsia="en-US"/>
        </w:rPr>
        <w:t xml:space="preserve"> </w:t>
      </w:r>
    </w:p>
    <w:p w14:paraId="6AA59E1A" w14:textId="77777777" w:rsidR="00545429" w:rsidRPr="00545429" w:rsidRDefault="00545429" w:rsidP="00882CE6">
      <w:pPr>
        <w:keepNext/>
        <w:keepLines/>
        <w:spacing w:before="40" w:after="0"/>
        <w:ind w:left="0" w:firstLine="0"/>
        <w:outlineLvl w:val="3"/>
        <w:rPr>
          <w:rFonts w:eastAsia="Calibri"/>
          <w:iCs/>
          <w:color w:val="auto"/>
          <w:lang w:val="pt-BR" w:eastAsia="en-US"/>
        </w:rPr>
      </w:pPr>
    </w:p>
    <w:p w14:paraId="6EAF3624" w14:textId="5987560E" w:rsidR="00545429" w:rsidRPr="00545429" w:rsidRDefault="007366C5" w:rsidP="00545429">
      <w:pPr>
        <w:spacing w:after="200" w:line="360" w:lineRule="auto"/>
        <w:ind w:left="0" w:right="0" w:firstLine="0"/>
        <w:rPr>
          <w:rFonts w:eastAsia="Calibri"/>
          <w:color w:val="auto"/>
          <w:szCs w:val="24"/>
          <w:lang w:val="pt-BR" w:eastAsia="en-US"/>
        </w:rPr>
      </w:pPr>
      <w:r>
        <w:rPr>
          <w:rFonts w:eastAsia="Calibri"/>
          <w:color w:val="auto"/>
          <w:szCs w:val="24"/>
          <w:lang w:val="pt-BR" w:eastAsia="en-US"/>
        </w:rPr>
        <w:t>Os</w:t>
      </w:r>
      <w:r w:rsidR="00545429" w:rsidRPr="00545429">
        <w:rPr>
          <w:rFonts w:eastAsia="Calibri"/>
          <w:color w:val="auto"/>
          <w:szCs w:val="24"/>
          <w:lang w:val="pt-BR" w:eastAsia="en-US"/>
        </w:rPr>
        <w:t xml:space="preserve"> ácidos orgânicos não voláteis (ácido cítrico, ascórbico, málico, tartárico e oxálico) foram extraídos e determinados recorrendo ao método descrito por</w:t>
      </w:r>
      <w:r w:rsidR="00901BBD">
        <w:rPr>
          <w:rFonts w:eastAsia="Calibri"/>
          <w:color w:val="auto"/>
          <w:szCs w:val="24"/>
          <w:lang w:val="pt-BR" w:eastAsia="en-US"/>
        </w:rPr>
        <w:t xml:space="preserve"> </w:t>
      </w:r>
      <w:r w:rsidR="00901BBD">
        <w:rPr>
          <w:rFonts w:eastAsia="Calibri"/>
          <w:color w:val="auto"/>
          <w:szCs w:val="24"/>
          <w:lang w:val="pt-BR" w:eastAsia="en-US"/>
        </w:rPr>
        <w:fldChar w:fldCharType="begin" w:fldLock="1"/>
      </w:r>
      <w:r w:rsidR="00D413A1">
        <w:rPr>
          <w:rFonts w:eastAsia="Calibri"/>
          <w:color w:val="auto"/>
          <w:szCs w:val="24"/>
          <w:lang w:val="pt-BR" w:eastAsia="en-US"/>
        </w:rPr>
        <w:instrText>ADDIN CSL_CITATION { "citationItems" : [ { "id" : "ITEM-1", "itemData" : { "author" : [ { "dropping-particle" : "", "family" : "Crespo", "given" : "P.", "non-dropping-particle" : "", "parse-names" : false, "suffix" : "" }, { "dropping-particle" : "", "family" : "Bordonaba", "given" : "J. G", "non-dropping-particle" : "", "parse-names" : false, "suffix" : "" }, { "dropping-particle" : "", "family" : "Terry", "given" : "L. A.", "non-dropping-particle" : "", "parse-names" : false, "suffix" : "" }, { "dropping-particle" : "", "family" : "Carlen", "given" : "C.", "non-dropping-particle" : "", "parse-names" : false, "suffix" : "" } ], "container-title" : "Food Chem", "id" : "ITEM-1", "issued" : { "date-parts" : [ [ "2010" ] ] }, "page" : "16\u201324", "title" : "Characterisation of Major Taste and Health-Related Compounds of Four Strawberry Genotypes Grown at Different Swiss Production Sites", "type" : "article-journal", "volume" : "122" }, "uris" : [ "http://www.mendeley.com/documents/?uuid=b6cba94f-8d68-4c5f-83fd-5c73735e38d1" ] } ], "mendeley" : { "formattedCitation" : "(Crespo, Bordonaba, Terry, &amp; Carlen, 2010)", "manualFormatting" : "Crespo et al., (2010)", "plainTextFormattedCitation" : "(Crespo, Bordonaba, Terry, &amp; Carlen, 2010)", "previouslyFormattedCitation" : "(Crespo, Bordonaba, Terry, &amp; Carlen, 2010)" }, "properties" : { "noteIndex" : 0 }, "schema" : "https://github.com/citation-style-language/schema/raw/master/csl-citation.json" }</w:instrText>
      </w:r>
      <w:r w:rsidR="00901BBD">
        <w:rPr>
          <w:rFonts w:eastAsia="Calibri"/>
          <w:color w:val="auto"/>
          <w:szCs w:val="24"/>
          <w:lang w:val="pt-BR" w:eastAsia="en-US"/>
        </w:rPr>
        <w:fldChar w:fldCharType="separate"/>
      </w:r>
      <w:r w:rsidR="00901BBD" w:rsidRPr="00901BBD">
        <w:rPr>
          <w:rFonts w:eastAsia="Calibri"/>
          <w:noProof/>
          <w:color w:val="auto"/>
          <w:szCs w:val="24"/>
          <w:lang w:val="pt-BR" w:eastAsia="en-US"/>
        </w:rPr>
        <w:t>Cr</w:t>
      </w:r>
      <w:r w:rsidR="00901BBD">
        <w:rPr>
          <w:rFonts w:eastAsia="Calibri"/>
          <w:noProof/>
          <w:color w:val="auto"/>
          <w:szCs w:val="24"/>
          <w:lang w:val="pt-BR" w:eastAsia="en-US"/>
        </w:rPr>
        <w:t>espo et al.</w:t>
      </w:r>
      <w:r w:rsidR="00901BBD" w:rsidRPr="00901BBD">
        <w:rPr>
          <w:rFonts w:eastAsia="Calibri"/>
          <w:noProof/>
          <w:color w:val="auto"/>
          <w:szCs w:val="24"/>
          <w:lang w:val="pt-BR" w:eastAsia="en-US"/>
        </w:rPr>
        <w:t xml:space="preserve">, </w:t>
      </w:r>
      <w:r w:rsidR="00901BBD">
        <w:rPr>
          <w:rFonts w:eastAsia="Calibri"/>
          <w:noProof/>
          <w:color w:val="auto"/>
          <w:szCs w:val="24"/>
          <w:lang w:val="pt-BR" w:eastAsia="en-US"/>
        </w:rPr>
        <w:t>(</w:t>
      </w:r>
      <w:r w:rsidR="00901BBD" w:rsidRPr="00901BBD">
        <w:rPr>
          <w:rFonts w:eastAsia="Calibri"/>
          <w:noProof/>
          <w:color w:val="auto"/>
          <w:szCs w:val="24"/>
          <w:lang w:val="pt-BR" w:eastAsia="en-US"/>
        </w:rPr>
        <w:t>2010)</w:t>
      </w:r>
      <w:r w:rsidR="00901BBD">
        <w:rPr>
          <w:rFonts w:eastAsia="Calibri"/>
          <w:color w:val="auto"/>
          <w:szCs w:val="24"/>
          <w:lang w:val="pt-BR" w:eastAsia="en-US"/>
        </w:rPr>
        <w:fldChar w:fldCharType="end"/>
      </w:r>
      <w:r w:rsidR="00545429" w:rsidRPr="00545429">
        <w:rPr>
          <w:rFonts w:eastAsia="Calibri"/>
          <w:color w:val="auto"/>
          <w:szCs w:val="24"/>
          <w:lang w:val="pt-BR" w:eastAsia="en-US"/>
        </w:rPr>
        <w:t xml:space="preserve">, com algumas alterações dadas por </w:t>
      </w:r>
      <w:r w:rsidR="00901BBD">
        <w:rPr>
          <w:rFonts w:eastAsia="Calibri"/>
          <w:color w:val="auto"/>
          <w:szCs w:val="24"/>
          <w:lang w:val="pt-BR" w:eastAsia="en-US"/>
        </w:rPr>
        <w:fldChar w:fldCharType="begin" w:fldLock="1"/>
      </w:r>
      <w:r w:rsidR="00901BBD">
        <w:rPr>
          <w:rFonts w:eastAsia="Calibri"/>
          <w:color w:val="auto"/>
          <w:szCs w:val="24"/>
          <w:lang w:val="pt-BR" w:eastAsia="en-US"/>
        </w:rPr>
        <w:instrText>ADDIN CSL_CITATION { "citationItems" : [ { "id" : "ITEM-1", "itemData" : { "author" : [ { "dropping-particle" : "", "family" : "Magwaza", "given" : "L. S.", "non-dropping-particle" : "", "parse-names" : false, "suffix" : "" }, { "dropping-particle" : "", "family" : "Opara", "given" : "U. L.", "non-dropping-particle" : "", "parse-names" : false, "suffix" : "" }, { "dropping-particle" : "", "family" : "Terry", "given" : "L. A.", "non-dropping-particle" : "", "parse-names" : false, "suffix" : "" }, { "dropping-particle" : "", "family" : "Landahl", "given" : "S.", "non-dropping-particle" : "", "parse-names" : false, "suffix" : "" }, { "dropping-particle" : "", "family" : "Cronje, P. J. R. Nieuwoudt, H. H. Hanssens", "given" : "A.", "non-dropping-particle" : "", "parse-names" : false, "suffix" : "" }, { "dropping-particle" : "", "family" : "Saeys", "given" : "W.", "non-dropping-particle" : "", "parse-names" : false, "suffix" : "" }, { "dropping-particle" : "", "family" : "Nicola\u00ef", "given" : "B. M.", "non-dropping-particle" : "", "parse-names" : false, "suffix" : "" } ], "container-title" : "J. Food Compos. Anal.", "id" : "ITEM-1", "issued" : { "date-parts" : [ [ "2013" ] ] }, "page" : "144\u2013154", "title" : "Evaluation of Fourier Transform-NIR Spectroscopy for Integrated External and Internal Quality Assessment of Valencia Oranges", "type" : "article-journal", "volume" : "31" }, "uris" : [ "http://www.mendeley.com/documents/?uuid=5340e9ae-7428-4b36-87ca-67c4d4e79211" ] } ], "mendeley" : { "formattedCitation" : "(Magwaza et al., 2013)", "manualFormatting" : "Magwaza et al., (2013)", "plainTextFormattedCitation" : "(Magwaza et al., 2013)", "previouslyFormattedCitation" : "(Magwaza et al., 2013)" }, "properties" : { "noteIndex" : 0 }, "schema" : "https://github.com/citation-style-language/schema/raw/master/csl-citation.json" }</w:instrText>
      </w:r>
      <w:r w:rsidR="00901BBD">
        <w:rPr>
          <w:rFonts w:eastAsia="Calibri"/>
          <w:color w:val="auto"/>
          <w:szCs w:val="24"/>
          <w:lang w:val="pt-BR" w:eastAsia="en-US"/>
        </w:rPr>
        <w:fldChar w:fldCharType="separate"/>
      </w:r>
      <w:r w:rsidR="00901BBD" w:rsidRPr="00901BBD">
        <w:rPr>
          <w:rFonts w:eastAsia="Calibri"/>
          <w:noProof/>
          <w:color w:val="auto"/>
          <w:szCs w:val="24"/>
          <w:lang w:val="pt-BR" w:eastAsia="en-US"/>
        </w:rPr>
        <w:t xml:space="preserve">Magwaza et al., </w:t>
      </w:r>
      <w:r w:rsidR="00901BBD">
        <w:rPr>
          <w:rFonts w:eastAsia="Calibri"/>
          <w:noProof/>
          <w:color w:val="auto"/>
          <w:szCs w:val="24"/>
          <w:lang w:val="pt-BR" w:eastAsia="en-US"/>
        </w:rPr>
        <w:t>(</w:t>
      </w:r>
      <w:r w:rsidR="00901BBD" w:rsidRPr="00901BBD">
        <w:rPr>
          <w:rFonts w:eastAsia="Calibri"/>
          <w:noProof/>
          <w:color w:val="auto"/>
          <w:szCs w:val="24"/>
          <w:lang w:val="pt-BR" w:eastAsia="en-US"/>
        </w:rPr>
        <w:t>2013)</w:t>
      </w:r>
      <w:r w:rsidR="00901BBD">
        <w:rPr>
          <w:rFonts w:eastAsia="Calibri"/>
          <w:color w:val="auto"/>
          <w:szCs w:val="24"/>
          <w:lang w:val="pt-BR" w:eastAsia="en-US"/>
        </w:rPr>
        <w:fldChar w:fldCharType="end"/>
      </w:r>
      <w:r w:rsidR="00545429" w:rsidRPr="00545429">
        <w:rPr>
          <w:rFonts w:eastAsia="Calibri"/>
          <w:color w:val="auto"/>
          <w:szCs w:val="24"/>
          <w:lang w:val="pt-BR" w:eastAsia="en-US"/>
        </w:rPr>
        <w:t>.</w:t>
      </w:r>
    </w:p>
    <w:p w14:paraId="52BCF618" w14:textId="52CEB11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Em seguida, 50 mg de amostra liofilizada foram extraídas a frio durante 5 min em 3</w:t>
      </w:r>
      <w:r w:rsidR="00E96E23">
        <w:rPr>
          <w:rFonts w:eastAsia="Calibri"/>
          <w:color w:val="auto"/>
          <w:szCs w:val="24"/>
          <w:lang w:val="pt-BR" w:eastAsia="en-US"/>
        </w:rPr>
        <w:t xml:space="preserve"> </w:t>
      </w:r>
      <w:r w:rsidRPr="00545429">
        <w:rPr>
          <w:rFonts w:eastAsia="Calibri"/>
          <w:color w:val="auto"/>
          <w:szCs w:val="24"/>
          <w:lang w:val="pt-BR" w:eastAsia="en-US"/>
        </w:rPr>
        <w:t>mL de água HPLC. O precipitado foi filtrado com um filtro de seringa de 0.2</w:t>
      </w:r>
      <w:r w:rsidR="00E96E23">
        <w:rPr>
          <w:rFonts w:eastAsia="Calibri"/>
          <w:color w:val="auto"/>
          <w:szCs w:val="24"/>
          <w:lang w:val="pt-BR" w:eastAsia="en-US"/>
        </w:rPr>
        <w:t xml:space="preserve"> </w:t>
      </w:r>
      <w:r w:rsidR="00157020">
        <w:rPr>
          <w:rFonts w:eastAsia="Calibri"/>
          <w:color w:val="auto"/>
          <w:szCs w:val="24"/>
          <w:lang w:val="pt-BR" w:eastAsia="en-US"/>
        </w:rPr>
        <w:t>µ</w:t>
      </w:r>
      <w:r w:rsidRPr="00545429">
        <w:rPr>
          <w:rFonts w:eastAsia="Calibri"/>
          <w:color w:val="auto"/>
          <w:szCs w:val="24"/>
          <w:lang w:val="pt-BR" w:eastAsia="en-US"/>
        </w:rPr>
        <w:t xml:space="preserve">m antes da análise em HPLC. </w:t>
      </w:r>
    </w:p>
    <w:p w14:paraId="3639C9AA" w14:textId="50BD01B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As concentrações dos ácidos anteriormente descritos foram determinados através de um sistema de bomba binária equipado com um detector de arranjo diodo (DAD, L2455, serie Lachrom, Hitachi, Japão) contendo um detector de múltiplos comprimen</w:t>
      </w:r>
      <w:r w:rsidR="00157020">
        <w:rPr>
          <w:rFonts w:eastAsia="Calibri"/>
          <w:color w:val="auto"/>
          <w:szCs w:val="24"/>
          <w:lang w:val="pt-BR" w:eastAsia="en-US"/>
        </w:rPr>
        <w:t>tos de onda, um desgaseificador.</w:t>
      </w:r>
    </w:p>
    <w:p w14:paraId="61FA5B84" w14:textId="74890B4A" w:rsidR="00545429" w:rsidRPr="00545429" w:rsidRDefault="007366C5" w:rsidP="00545429">
      <w:pPr>
        <w:spacing w:after="200" w:line="360" w:lineRule="auto"/>
        <w:ind w:left="0" w:right="0" w:firstLine="0"/>
        <w:rPr>
          <w:rFonts w:eastAsia="Calibri"/>
          <w:color w:val="auto"/>
          <w:szCs w:val="24"/>
          <w:lang w:val="pt-BR" w:eastAsia="en-US"/>
        </w:rPr>
      </w:pPr>
      <w:r>
        <w:rPr>
          <w:rFonts w:eastAsia="Calibri"/>
          <w:color w:val="auto"/>
          <w:szCs w:val="24"/>
          <w:lang w:val="pt-BR" w:eastAsia="en-US"/>
        </w:rPr>
        <w:lastRenderedPageBreak/>
        <w:t>A</w:t>
      </w:r>
      <w:r w:rsidR="00545429" w:rsidRPr="00545429">
        <w:rPr>
          <w:rFonts w:eastAsia="Calibri"/>
          <w:color w:val="auto"/>
          <w:szCs w:val="24"/>
          <w:lang w:val="pt-BR" w:eastAsia="en-US"/>
        </w:rPr>
        <w:t xml:space="preserve"> amostra filtrada (20</w:t>
      </w:r>
      <w:r w:rsidR="00E96E23">
        <w:rPr>
          <w:rFonts w:eastAsia="Calibri"/>
          <w:color w:val="auto"/>
          <w:szCs w:val="24"/>
          <w:lang w:val="pt-BR" w:eastAsia="en-US"/>
        </w:rPr>
        <w:t xml:space="preserve"> </w:t>
      </w:r>
      <w:r w:rsidRPr="00545429">
        <w:rPr>
          <w:rFonts w:eastAsia="Calibri"/>
          <w:color w:val="auto"/>
          <w:szCs w:val="24"/>
          <w:lang w:val="pt-BR" w:eastAsia="en-US"/>
        </w:rPr>
        <w:t>µ</w:t>
      </w:r>
      <w:r w:rsidR="00545429" w:rsidRPr="00545429">
        <w:rPr>
          <w:rFonts w:eastAsia="Calibri"/>
          <w:color w:val="auto"/>
          <w:szCs w:val="24"/>
          <w:lang w:val="pt-BR" w:eastAsia="en-US"/>
        </w:rPr>
        <w:t>L) foi injectada na coluna Purospher STAR</w:t>
      </w:r>
      <w:r w:rsidR="00AE4397">
        <w:rPr>
          <w:rFonts w:eastAsia="Calibri"/>
          <w:color w:val="auto"/>
          <w:szCs w:val="24"/>
          <w:lang w:val="pt-BR" w:eastAsia="en-US"/>
        </w:rPr>
        <w:t xml:space="preserve"> </w:t>
      </w:r>
      <w:r w:rsidR="00545429" w:rsidRPr="00545429">
        <w:rPr>
          <w:rFonts w:eastAsia="Calibri"/>
          <w:color w:val="auto"/>
          <w:szCs w:val="24"/>
          <w:lang w:val="pt-BR" w:eastAsia="en-US"/>
        </w:rPr>
        <w:t>RP-18 (4.6 mm de diâmetro x 250 mm, 5 µm de tamanho de partícula, millipore Merck, Alemanha) e com mais uma coluna de proteção de ácido orgânico (LiChroCART 4-4 Merck Millipore, Alemanha). Foi preciso ajustar para 35</w:t>
      </w:r>
      <w:r w:rsidR="00D4302C">
        <w:rPr>
          <w:rFonts w:eastAsia="Calibri"/>
          <w:color w:val="auto"/>
          <w:szCs w:val="24"/>
          <w:lang w:val="pt-BR" w:eastAsia="en-US"/>
        </w:rPr>
        <w:t>º</w:t>
      </w:r>
      <w:r w:rsidR="00545429" w:rsidRPr="00545429">
        <w:rPr>
          <w:rFonts w:eastAsia="Calibri"/>
          <w:color w:val="auto"/>
          <w:szCs w:val="24"/>
          <w:lang w:val="pt-BR" w:eastAsia="en-US"/>
        </w:rPr>
        <w:t>C a temperatura da coluna usando um compartimento de colunas termostatizadas (L-2300, Elite LaChrom series, Hitachi,Japan). A fase móvel utilizada foi 0.2% de ácido metafosfórico aquoso para HPLC com uma taxa de fluxo de 1.0 mL/min.</w:t>
      </w:r>
    </w:p>
    <w:p w14:paraId="5C95D235" w14:textId="7F6476EE"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Os ácidos orgânicos não voláteis foram detectados no comprimento de onda 210</w:t>
      </w:r>
      <w:r w:rsidR="00E96E23">
        <w:rPr>
          <w:rFonts w:eastAsia="Calibri"/>
          <w:color w:val="auto"/>
          <w:szCs w:val="24"/>
          <w:lang w:val="pt-BR" w:eastAsia="en-US"/>
        </w:rPr>
        <w:t xml:space="preserve"> </w:t>
      </w:r>
      <w:r w:rsidRPr="00545429">
        <w:rPr>
          <w:rFonts w:eastAsia="Calibri"/>
          <w:color w:val="auto"/>
          <w:szCs w:val="24"/>
          <w:lang w:val="pt-BR" w:eastAsia="en-US"/>
        </w:rPr>
        <w:t>nm, ex</w:t>
      </w:r>
      <w:r w:rsidR="007366C5">
        <w:rPr>
          <w:rFonts w:eastAsia="Calibri"/>
          <w:color w:val="auto"/>
          <w:szCs w:val="24"/>
          <w:lang w:val="pt-BR" w:eastAsia="en-US"/>
        </w:rPr>
        <w:t>ce</w:t>
      </w:r>
      <w:r w:rsidRPr="00545429">
        <w:rPr>
          <w:rFonts w:eastAsia="Calibri"/>
          <w:color w:val="auto"/>
          <w:szCs w:val="24"/>
          <w:lang w:val="pt-BR" w:eastAsia="en-US"/>
        </w:rPr>
        <w:t>pto para o ácido ascórb</w:t>
      </w:r>
      <w:r w:rsidR="00285E39">
        <w:rPr>
          <w:rFonts w:eastAsia="Calibri"/>
          <w:color w:val="auto"/>
          <w:szCs w:val="24"/>
          <w:lang w:val="pt-BR" w:eastAsia="en-US"/>
        </w:rPr>
        <w:t>ico que foi encontrado a 245</w:t>
      </w:r>
      <w:r w:rsidR="00E96E23">
        <w:rPr>
          <w:rFonts w:eastAsia="Calibri"/>
          <w:color w:val="auto"/>
          <w:szCs w:val="24"/>
          <w:lang w:val="pt-BR" w:eastAsia="en-US"/>
        </w:rPr>
        <w:t xml:space="preserve"> </w:t>
      </w:r>
      <w:r w:rsidR="00285E39">
        <w:rPr>
          <w:rFonts w:eastAsia="Calibri"/>
          <w:color w:val="auto"/>
          <w:szCs w:val="24"/>
          <w:lang w:val="pt-BR" w:eastAsia="en-US"/>
        </w:rPr>
        <w:t>nm</w:t>
      </w:r>
      <w:r w:rsidRPr="00545429">
        <w:rPr>
          <w:rFonts w:eastAsia="Calibri"/>
          <w:color w:val="auto"/>
          <w:szCs w:val="24"/>
          <w:lang w:val="pt-BR" w:eastAsia="en-US"/>
        </w:rPr>
        <w:t>.</w:t>
      </w:r>
    </w:p>
    <w:p w14:paraId="7AAE33BC" w14:textId="77777777" w:rsidR="00545429" w:rsidRPr="00545429" w:rsidRDefault="00545429" w:rsidP="00545429">
      <w:pPr>
        <w:keepNext/>
        <w:keepLines/>
        <w:spacing w:before="40" w:after="0"/>
        <w:outlineLvl w:val="2"/>
        <w:rPr>
          <w:rFonts w:asciiTheme="majorHAnsi" w:eastAsia="Calibri" w:hAnsiTheme="majorHAnsi" w:cstheme="majorBidi"/>
          <w:color w:val="auto"/>
          <w:szCs w:val="24"/>
          <w:lang w:val="pt-BR" w:eastAsia="en-US"/>
        </w:rPr>
      </w:pPr>
    </w:p>
    <w:p w14:paraId="0803B680" w14:textId="52684BCD" w:rsidR="00545429" w:rsidRPr="004E4759" w:rsidRDefault="008474A4" w:rsidP="004E4759">
      <w:pPr>
        <w:pStyle w:val="Cabealho4"/>
        <w:rPr>
          <w:rFonts w:ascii="Times New Roman" w:eastAsia="Calibri" w:hAnsi="Times New Roman" w:cs="Times New Roman"/>
          <w:i w:val="0"/>
          <w:color w:val="auto"/>
          <w:lang w:val="pt-BR" w:eastAsia="en-US"/>
        </w:rPr>
      </w:pPr>
      <w:bookmarkStart w:id="273" w:name="_Toc479154853"/>
      <w:r>
        <w:rPr>
          <w:rFonts w:ascii="Times New Roman" w:eastAsia="Calibri" w:hAnsi="Times New Roman" w:cs="Times New Roman"/>
          <w:i w:val="0"/>
          <w:color w:val="auto"/>
          <w:lang w:val="pt-BR" w:eastAsia="en-US"/>
        </w:rPr>
        <w:t>2.3.7</w:t>
      </w:r>
      <w:r w:rsidR="00C4111F">
        <w:rPr>
          <w:rFonts w:ascii="Times New Roman" w:eastAsia="Calibri" w:hAnsi="Times New Roman" w:cs="Times New Roman"/>
          <w:i w:val="0"/>
          <w:color w:val="auto"/>
          <w:lang w:val="pt-BR" w:eastAsia="en-US"/>
        </w:rPr>
        <w:t xml:space="preserve"> Açú</w:t>
      </w:r>
      <w:r w:rsidR="00545429" w:rsidRPr="004E4759">
        <w:rPr>
          <w:rFonts w:ascii="Times New Roman" w:eastAsia="Calibri" w:hAnsi="Times New Roman" w:cs="Times New Roman"/>
          <w:i w:val="0"/>
          <w:color w:val="auto"/>
          <w:lang w:val="pt-BR" w:eastAsia="en-US"/>
        </w:rPr>
        <w:t>cares totais</w:t>
      </w:r>
      <w:bookmarkEnd w:id="273"/>
    </w:p>
    <w:p w14:paraId="117D0214" w14:textId="77777777" w:rsidR="00545429" w:rsidRPr="00545429" w:rsidRDefault="00545429" w:rsidP="00545429">
      <w:pPr>
        <w:keepNext/>
        <w:keepLines/>
        <w:spacing w:before="40" w:after="0"/>
        <w:outlineLvl w:val="3"/>
        <w:rPr>
          <w:rFonts w:eastAsia="Calibri"/>
          <w:iCs/>
          <w:color w:val="auto"/>
          <w:lang w:val="pt-BR" w:eastAsia="en-US"/>
        </w:rPr>
      </w:pPr>
    </w:p>
    <w:p w14:paraId="472EAF1A" w14:textId="131EDA72" w:rsidR="00545429" w:rsidRPr="00545429" w:rsidRDefault="007366C5" w:rsidP="00545429">
      <w:pPr>
        <w:spacing w:after="200" w:line="360" w:lineRule="auto"/>
        <w:ind w:left="0" w:right="0" w:firstLine="0"/>
        <w:rPr>
          <w:rFonts w:eastAsia="Calibri"/>
          <w:color w:val="auto"/>
          <w:szCs w:val="24"/>
          <w:lang w:eastAsia="en-US"/>
        </w:rPr>
      </w:pPr>
      <w:r>
        <w:rPr>
          <w:rFonts w:eastAsia="Calibri"/>
          <w:color w:val="auto"/>
          <w:szCs w:val="24"/>
          <w:lang w:eastAsia="en-US"/>
        </w:rPr>
        <w:t>A</w:t>
      </w:r>
      <w:r w:rsidR="00545429" w:rsidRPr="00545429">
        <w:rPr>
          <w:rFonts w:eastAsia="Calibri"/>
          <w:color w:val="auto"/>
          <w:szCs w:val="24"/>
          <w:lang w:eastAsia="en-US"/>
        </w:rPr>
        <w:t xml:space="preserve"> extração e quantificação de </w:t>
      </w:r>
      <w:r w:rsidR="00E96E23" w:rsidRPr="00545429">
        <w:rPr>
          <w:rFonts w:eastAsia="Calibri"/>
          <w:color w:val="auto"/>
          <w:szCs w:val="24"/>
          <w:lang w:eastAsia="en-US"/>
        </w:rPr>
        <w:t>açúcares</w:t>
      </w:r>
      <w:r w:rsidR="00545429" w:rsidRPr="00545429">
        <w:rPr>
          <w:rFonts w:eastAsia="Calibri"/>
          <w:color w:val="auto"/>
          <w:szCs w:val="24"/>
          <w:lang w:eastAsia="en-US"/>
        </w:rPr>
        <w:t xml:space="preserve"> (frutose, glucose e sacarose) </w:t>
      </w:r>
      <w:proofErr w:type="gramStart"/>
      <w:r w:rsidR="00545429" w:rsidRPr="00545429">
        <w:rPr>
          <w:rFonts w:eastAsia="Calibri"/>
          <w:color w:val="auto"/>
          <w:szCs w:val="24"/>
          <w:lang w:eastAsia="en-US"/>
        </w:rPr>
        <w:t>baseou</w:t>
      </w:r>
      <w:proofErr w:type="gramEnd"/>
      <w:r w:rsidR="00545429" w:rsidRPr="00545429">
        <w:rPr>
          <w:rFonts w:eastAsia="Calibri"/>
          <w:color w:val="auto"/>
          <w:szCs w:val="24"/>
          <w:lang w:eastAsia="en-US"/>
        </w:rPr>
        <w:t>-se no método</w:t>
      </w:r>
      <w:r w:rsidR="00D8792D">
        <w:rPr>
          <w:rFonts w:eastAsia="Calibri"/>
          <w:color w:val="auto"/>
          <w:szCs w:val="24"/>
          <w:lang w:eastAsia="en-US"/>
        </w:rPr>
        <w:t xml:space="preserve"> descrito por</w:t>
      </w:r>
      <w:r w:rsidR="00545429" w:rsidRPr="00545429">
        <w:rPr>
          <w:rFonts w:eastAsia="Calibri"/>
          <w:color w:val="auto"/>
          <w:szCs w:val="24"/>
          <w:lang w:eastAsia="en-US"/>
        </w:rPr>
        <w:t xml:space="preserve"> </w:t>
      </w:r>
      <w:r w:rsidR="00901BBD">
        <w:rPr>
          <w:rFonts w:eastAsia="Calibri"/>
          <w:color w:val="auto"/>
          <w:szCs w:val="24"/>
          <w:lang w:eastAsia="en-US"/>
        </w:rPr>
        <w:fldChar w:fldCharType="begin" w:fldLock="1"/>
      </w:r>
      <w:r w:rsidR="00901BBD">
        <w:rPr>
          <w:rFonts w:eastAsia="Calibri"/>
          <w:color w:val="auto"/>
          <w:szCs w:val="24"/>
          <w:lang w:eastAsia="en-US"/>
        </w:rPr>
        <w:instrText>ADDIN CSL_CITATION { "citationItems" : [ { "id" : "ITEM-1", "itemData" : { "author" : [ { "dropping-particle" : "", "family" : "Magwaza", "given" : "L. S.", "non-dropping-particle" : "", "parse-names" : false, "suffix" : "" }, { "dropping-particle" : "", "family" : "Opara", "given" : "U. L.", "non-dropping-particle" : "", "parse-names" : false, "suffix" : "" }, { "dropping-particle" : "", "family" : "Terry", "given" : "L. A.", "non-dropping-particle" : "", "parse-names" : false, "suffix" : "" }, { "dropping-particle" : "", "family" : "Landahl", "given" : "S.", "non-dropping-particle" : "", "parse-names" : false, "suffix" : "" }, { "dropping-particle" : "", "family" : "Cronje, P. J. R. Nieuwoudt, H. H. Hanssens", "given" : "A.", "non-dropping-particle" : "", "parse-names" : false, "suffix" : "" }, { "dropping-particle" : "", "family" : "Saeys", "given" : "W.", "non-dropping-particle" : "", "parse-names" : false, "suffix" : "" }, { "dropping-particle" : "", "family" : "Nicola\u00ef", "given" : "B. M.", "non-dropping-particle" : "", "parse-names" : false, "suffix" : "" } ], "container-title" : "J. Food Compos. Anal.", "id" : "ITEM-1", "issued" : { "date-parts" : [ [ "2013" ] ] }, "page" : "144\u2013154", "title" : "Evaluation of Fourier Transform-NIR Spectroscopy for Integrated External and Internal Quality Assessment of Valencia Oranges", "type" : "article-journal", "volume" : "31" }, "uris" : [ "http://www.mendeley.com/documents/?uuid=5340e9ae-7428-4b36-87ca-67c4d4e79211" ] } ], "mendeley" : { "formattedCitation" : "(Magwaza et al., 2013)", "manualFormatting" : "Magwaza et al., 2013", "plainTextFormattedCitation" : "(Magwaza et al., 2013)", "previouslyFormattedCitation" : "(Magwaza et al., 2013)" }, "properties" : { "noteIndex" : 0 }, "schema" : "https://github.com/citation-style-language/schema/raw/master/csl-citation.json" }</w:instrText>
      </w:r>
      <w:r w:rsidR="00901BBD">
        <w:rPr>
          <w:rFonts w:eastAsia="Calibri"/>
          <w:color w:val="auto"/>
          <w:szCs w:val="24"/>
          <w:lang w:eastAsia="en-US"/>
        </w:rPr>
        <w:fldChar w:fldCharType="separate"/>
      </w:r>
      <w:r w:rsidR="00901BBD">
        <w:rPr>
          <w:rFonts w:eastAsia="Calibri"/>
          <w:noProof/>
          <w:color w:val="auto"/>
          <w:szCs w:val="24"/>
          <w:lang w:eastAsia="en-US"/>
        </w:rPr>
        <w:t>M</w:t>
      </w:r>
      <w:r w:rsidR="00901BBD" w:rsidRPr="00901BBD">
        <w:rPr>
          <w:rFonts w:eastAsia="Calibri"/>
          <w:noProof/>
          <w:color w:val="auto"/>
          <w:szCs w:val="24"/>
          <w:lang w:eastAsia="en-US"/>
        </w:rPr>
        <w:t>agwaza et al., 2013</w:t>
      </w:r>
      <w:r w:rsidR="00901BBD">
        <w:rPr>
          <w:rFonts w:eastAsia="Calibri"/>
          <w:color w:val="auto"/>
          <w:szCs w:val="24"/>
          <w:lang w:eastAsia="en-US"/>
        </w:rPr>
        <w:fldChar w:fldCharType="end"/>
      </w:r>
      <w:r w:rsidR="00545429" w:rsidRPr="00545429">
        <w:rPr>
          <w:rFonts w:eastAsia="Calibri"/>
          <w:color w:val="auto"/>
          <w:szCs w:val="24"/>
          <w:lang w:eastAsia="en-US"/>
        </w:rPr>
        <w:t>.</w:t>
      </w:r>
      <w:r w:rsidR="00D4302C">
        <w:rPr>
          <w:rFonts w:eastAsia="Calibri"/>
          <w:color w:val="auto"/>
          <w:szCs w:val="24"/>
          <w:lang w:eastAsia="en-US"/>
        </w:rPr>
        <w:t xml:space="preserve"> </w:t>
      </w:r>
      <w:r w:rsidR="00545429" w:rsidRPr="00545429">
        <w:rPr>
          <w:rFonts w:eastAsia="Calibri"/>
          <w:color w:val="auto"/>
          <w:szCs w:val="24"/>
          <w:lang w:eastAsia="en-US"/>
        </w:rPr>
        <w:t>Resumidamente</w:t>
      </w:r>
      <w:proofErr w:type="gramStart"/>
      <w:r w:rsidR="00545429" w:rsidRPr="00545429">
        <w:rPr>
          <w:rFonts w:eastAsia="Calibri"/>
          <w:color w:val="auto"/>
          <w:szCs w:val="24"/>
          <w:lang w:eastAsia="en-US"/>
        </w:rPr>
        <w:t>,</w:t>
      </w:r>
      <w:proofErr w:type="gramEnd"/>
      <w:r w:rsidR="00545429" w:rsidRPr="00545429">
        <w:rPr>
          <w:rFonts w:eastAsia="Calibri"/>
          <w:color w:val="auto"/>
          <w:szCs w:val="24"/>
          <w:lang w:eastAsia="en-US"/>
        </w:rPr>
        <w:t xml:space="preserve"> foi feita uma extração de pó de frutas de 150 ± 0,5 mg em 3 mL de 62.5% (v/v) de metanol aquoso. Depois da extração, as concentrações dos açúcares foram determinadas por um sistema de bomba binário do HPLC (G-2130, série Elite LaChrom, Hitachi, Japão). Foi injetado </w:t>
      </w:r>
      <w:r w:rsidR="00157020">
        <w:rPr>
          <w:rFonts w:eastAsia="Calibri"/>
          <w:color w:val="auto"/>
          <w:szCs w:val="24"/>
          <w:lang w:eastAsia="en-US"/>
        </w:rPr>
        <w:t>numa coluna Purospher STAR</w:t>
      </w:r>
      <w:r w:rsidR="00545429" w:rsidRPr="00545429">
        <w:rPr>
          <w:rFonts w:eastAsia="Calibri"/>
          <w:color w:val="auto"/>
          <w:szCs w:val="24"/>
          <w:lang w:eastAsia="en-US"/>
        </w:rPr>
        <w:t xml:space="preserve"> NH2 (amino) (4,6 mm de diâmetro x 250 mm, 5 </w:t>
      </w:r>
      <w:r w:rsidR="00E96E23" w:rsidRPr="00545429">
        <w:rPr>
          <w:rFonts w:eastAsia="Calibri"/>
          <w:color w:val="auto"/>
          <w:szCs w:val="24"/>
          <w:lang w:eastAsia="en-US"/>
        </w:rPr>
        <w:t>µ</w:t>
      </w:r>
      <w:r w:rsidR="00545429" w:rsidRPr="00545429">
        <w:rPr>
          <w:rFonts w:eastAsia="Calibri"/>
          <w:color w:val="auto"/>
          <w:szCs w:val="24"/>
          <w:lang w:eastAsia="en-US"/>
        </w:rPr>
        <w:t xml:space="preserve">m de tamanho de partícula; Millipore Merck, Alemanha) 10 µL de uma solução de amostra diluída (1:10) com uma </w:t>
      </w:r>
      <w:r w:rsidR="00157020">
        <w:rPr>
          <w:rFonts w:eastAsia="Calibri"/>
          <w:color w:val="auto"/>
          <w:szCs w:val="24"/>
          <w:lang w:eastAsia="en-US"/>
        </w:rPr>
        <w:t>pré-</w:t>
      </w:r>
      <w:r w:rsidR="00545429" w:rsidRPr="00545429">
        <w:rPr>
          <w:rFonts w:eastAsia="Calibri"/>
          <w:color w:val="auto"/>
          <w:szCs w:val="24"/>
          <w:lang w:eastAsia="en-US"/>
        </w:rPr>
        <w:t>coluna (LiChroCART 4-4 Merck Millipore, Alemanha). A temperatura do forno das colunas foi fixada nos 35</w:t>
      </w:r>
      <w:r w:rsidR="00D4302C">
        <w:rPr>
          <w:rFonts w:eastAsia="Calibri"/>
          <w:color w:val="auto"/>
          <w:szCs w:val="24"/>
          <w:lang w:eastAsia="en-US"/>
        </w:rPr>
        <w:t>º</w:t>
      </w:r>
      <w:r w:rsidR="00545429" w:rsidRPr="00545429">
        <w:rPr>
          <w:rFonts w:eastAsia="Calibri"/>
          <w:color w:val="auto"/>
          <w:szCs w:val="24"/>
          <w:lang w:eastAsia="en-US"/>
        </w:rPr>
        <w:t>C.</w:t>
      </w:r>
    </w:p>
    <w:p w14:paraId="65005129" w14:textId="21649E45" w:rsid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 xml:space="preserve">A fase móvel usada foi água de </w:t>
      </w:r>
      <w:r w:rsidR="00157020">
        <w:rPr>
          <w:rFonts w:eastAsia="Calibri"/>
          <w:color w:val="auto"/>
          <w:szCs w:val="24"/>
          <w:lang w:eastAsia="en-US"/>
        </w:rPr>
        <w:t xml:space="preserve">qualidade </w:t>
      </w:r>
      <w:r w:rsidRPr="00545429">
        <w:rPr>
          <w:rFonts w:eastAsia="Calibri"/>
          <w:color w:val="auto"/>
          <w:szCs w:val="24"/>
          <w:lang w:eastAsia="en-US"/>
        </w:rPr>
        <w:t xml:space="preserve">HPLC com um caudal </w:t>
      </w:r>
      <w:r w:rsidR="00157020">
        <w:rPr>
          <w:rFonts w:eastAsia="Calibri"/>
          <w:color w:val="auto"/>
          <w:szCs w:val="24"/>
          <w:lang w:eastAsia="en-US"/>
        </w:rPr>
        <w:t>de 1.0 mL/min, foi detetada</w:t>
      </w:r>
      <w:r w:rsidRPr="00545429">
        <w:rPr>
          <w:rFonts w:eastAsia="Calibri"/>
          <w:color w:val="auto"/>
          <w:szCs w:val="24"/>
          <w:lang w:eastAsia="en-US"/>
        </w:rPr>
        <w:t xml:space="preserve"> a presença de hidratos de carbono no detetor de índice de refração (RID, L-2490, série </w:t>
      </w:r>
      <w:r w:rsidR="00285E39">
        <w:rPr>
          <w:rFonts w:eastAsia="Calibri"/>
          <w:color w:val="auto"/>
          <w:szCs w:val="24"/>
          <w:lang w:eastAsia="en-US"/>
        </w:rPr>
        <w:t>Elite LaChrom, Hitachi, Japão).</w:t>
      </w:r>
    </w:p>
    <w:p w14:paraId="6EA853D6" w14:textId="77777777" w:rsidR="0033358E" w:rsidRPr="00545429" w:rsidRDefault="0033358E" w:rsidP="00545429">
      <w:pPr>
        <w:spacing w:after="200" w:line="360" w:lineRule="auto"/>
        <w:ind w:left="0" w:right="0" w:firstLine="0"/>
        <w:rPr>
          <w:rFonts w:eastAsia="Calibri"/>
          <w:color w:val="auto"/>
          <w:szCs w:val="24"/>
          <w:lang w:eastAsia="en-US"/>
        </w:rPr>
      </w:pPr>
    </w:p>
    <w:p w14:paraId="3B2BD8D5" w14:textId="77777777" w:rsidR="00545429" w:rsidRPr="004E4759" w:rsidRDefault="00545429" w:rsidP="004E4759">
      <w:pPr>
        <w:pStyle w:val="Cabealho3"/>
        <w:rPr>
          <w:rFonts w:ascii="Times New Roman" w:eastAsia="Calibri" w:hAnsi="Times New Roman" w:cs="Times New Roman"/>
          <w:color w:val="auto"/>
          <w:lang w:eastAsia="en-US"/>
        </w:rPr>
      </w:pPr>
      <w:bookmarkStart w:id="274" w:name="_Toc479154854"/>
      <w:r w:rsidRPr="004E4759">
        <w:rPr>
          <w:rFonts w:ascii="Times New Roman" w:eastAsia="Calibri" w:hAnsi="Times New Roman" w:cs="Times New Roman"/>
          <w:color w:val="auto"/>
          <w:lang w:eastAsia="en-US"/>
        </w:rPr>
        <w:t>2.2.9 Teor de fibra</w:t>
      </w:r>
      <w:bookmarkEnd w:id="274"/>
    </w:p>
    <w:p w14:paraId="1C2A2BFD" w14:textId="77777777" w:rsidR="00545429" w:rsidRPr="00545429" w:rsidRDefault="00545429" w:rsidP="00545429">
      <w:pPr>
        <w:rPr>
          <w:rFonts w:eastAsia="Calibri"/>
          <w:lang w:eastAsia="en-US"/>
        </w:rPr>
      </w:pPr>
    </w:p>
    <w:p w14:paraId="18E63CC3" w14:textId="5CF4AA2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As fibras dietéticas são uma mistura de substâncias de complexos orgânicos, encontradas  maioritariamente em vegetais e fruta, tais como, hemiceluloses, lignina, oligossacarídeos, não digeríveis, cera, celulose, pectinas e gomas, que resistem à </w:t>
      </w:r>
      <w:r w:rsidR="00157020">
        <w:rPr>
          <w:rFonts w:eastAsia="Calibri"/>
          <w:color w:val="auto"/>
          <w:szCs w:val="24"/>
          <w:lang w:val="pt-BR" w:eastAsia="en-US"/>
        </w:rPr>
        <w:lastRenderedPageBreak/>
        <w:t xml:space="preserve">hidrólise pelas enzimas </w:t>
      </w:r>
      <w:r w:rsidRPr="00545429">
        <w:rPr>
          <w:rFonts w:eastAsia="Calibri"/>
          <w:color w:val="auto"/>
          <w:szCs w:val="24"/>
          <w:lang w:val="pt-BR" w:eastAsia="en-US"/>
        </w:rPr>
        <w:t>(Sigma-Aldrich, St. Louis MO, USA</w:t>
      </w:r>
      <w:r w:rsidR="00443A0B">
        <w:rPr>
          <w:rFonts w:eastAsia="Calibri"/>
          <w:color w:val="auto"/>
          <w:szCs w:val="24"/>
          <w:lang w:val="pt-BR" w:eastAsia="en-US"/>
        </w:rPr>
        <w:t>;</w:t>
      </w:r>
      <w:r w:rsidRPr="00545429">
        <w:rPr>
          <w:rFonts w:eastAsia="Calibri"/>
          <w:color w:val="auto"/>
          <w:szCs w:val="24"/>
          <w:lang w:val="pt-BR" w:eastAsia="en-US"/>
        </w:rPr>
        <w:t xml:space="preserve"> </w:t>
      </w:r>
      <w:r w:rsidRPr="00545429">
        <w:rPr>
          <w:rFonts w:eastAsia="Calibri"/>
          <w:color w:val="auto"/>
          <w:szCs w:val="24"/>
          <w:lang w:val="pt-BR" w:eastAsia="en-US"/>
        </w:rPr>
        <w:fldChar w:fldCharType="begin" w:fldLock="1"/>
      </w:r>
      <w:r w:rsidR="00C75BBE">
        <w:rPr>
          <w:rFonts w:eastAsia="Calibri"/>
          <w:color w:val="auto"/>
          <w:szCs w:val="24"/>
          <w:lang w:val="pt-BR" w:eastAsia="en-US"/>
        </w:rPr>
        <w:instrText>ADDIN CSL_CITATION { "citationItems" : [ { "id" : "ITEM-1", "itemData" : { "author" : [ { "dropping-particle" : "", "family" : "Chang, S.-C., Lee, M.-S., Lin, C.-J., &amp; Chen", "given" : "M.-L.", "non-dropping-particle" : "", "parse-names" : false, "suffix" : "" } ], "container-title" : "Asia Pacific Journal Clinical Nutrition", "id" : "ITEM-1", "issue" : "3/4", "issued" : { "date-parts" : [ [ "1998" ] ] }, "page" : "206-210", "title" : "Dietary fiber content and composition of fruit Taiwan", "type" : "article-journal", "volume" : "7" }, "uris" : [ "http://www.mendeley.com/documents/?uuid=dfe4e4fc-774b-4b28-9c2e-d3fbc54d32bd" ] }, { "id" : "ITEM-2", "itemData" : { "author" : [ { "dropping-particle" : "", "family" : "Anderson", "given" : "J W", "non-dropping-particle" : "", "parse-names" : false, "suffix" : "" }, { "dropping-particle" : "", "family" : "Bridges", "given" : "S R", "non-dropping-particle" : "", "parse-names" : false, "suffix" : "" } ], "container-title" : "The American Society for Clinical Nutrition", "id" : "ITEM-2", "issue" : "3", "issued" : { "date-parts" : [ [ "1988" ] ] }, "page" : "440-447", "title" : "Dietary fiber content of selected foods", "type" : "article-journal", "volume" : "47" }, "uris" : [ "http://www.mendeley.com/documents/?uuid=db04fd46-e0ca-4896-b881-72a6c1ddbd37" ] }, { "id" : "ITEM-3", "itemData" : { "author" : [ { "dropping-particle" : "", "family" : "\u00c1lvarez, E. E., &amp; S\u00e1nchez", "given" : "G", "non-dropping-particle" : "", "parse-names" : false, "suffix" : "" } ], "container-title" : "Nutrici\u00f3n Hospitalaria", "id" : "ITEM-3", "issue" : "2", "issued" : { "date-parts" : [ [ "2006" ] ] }, "page" : "61-72", "title" : "La fibra diet\u00e9tica", "type" : "article-journal", "volume" : "21" }, "uris" : [ "http://www.mendeley.com/documents/?uuid=39edfacd-54cf-4f4b-9f4e-78167a068245" ] } ], "mendeley" : { "formattedCitation" : "(\u00c1lvarez, E. E., &amp; S\u00e1nchez, 2006; Anderson &amp; Bridges, 1988; Chang, S.-C., Lee, M.-S., Lin, C.-J., &amp; Chen, 1998)", "manualFormatting" : "\u00c1lvarez et al., 2006; Anderson &amp; Bridges, 1988; Chang, et al., 1998)", "plainTextFormattedCitation" : "(\u00c1lvarez, E. E., &amp; S\u00e1nchez, 2006; Anderson &amp; Bridges, 1988; Chang, S.-C., Lee, M.-S., Lin, C.-J., &amp; Chen, 1998)", "previouslyFormattedCitation" : "(\u00c1lvarez, E. E., &amp; S\u00e1nchez, 2006; Anderson &amp; Bridges, 1988; Chang, S.-C., Lee, M.-S., Lin, C.-J., &amp; Chen, 1998)" }, "properties" : { "noteIndex" : 0 }, "schema" : "https://github.com/citation-style-language/schema/raw/master/csl-citation.json" }</w:instrText>
      </w:r>
      <w:r w:rsidRPr="00545429">
        <w:rPr>
          <w:rFonts w:eastAsia="Calibri"/>
          <w:color w:val="auto"/>
          <w:szCs w:val="24"/>
          <w:lang w:val="pt-BR" w:eastAsia="en-US"/>
        </w:rPr>
        <w:fldChar w:fldCharType="separate"/>
      </w:r>
      <w:r w:rsidR="00443A0B">
        <w:rPr>
          <w:rFonts w:eastAsia="Calibri"/>
          <w:noProof/>
          <w:color w:val="auto"/>
          <w:szCs w:val="24"/>
          <w:lang w:val="pt-BR" w:eastAsia="en-US"/>
        </w:rPr>
        <w:t>Álvarez et al.</w:t>
      </w:r>
      <w:r w:rsidRPr="00545429">
        <w:rPr>
          <w:rFonts w:eastAsia="Calibri"/>
          <w:noProof/>
          <w:color w:val="auto"/>
          <w:szCs w:val="24"/>
          <w:lang w:val="pt-BR" w:eastAsia="en-US"/>
        </w:rPr>
        <w:t xml:space="preserve">, 2006; Anderson &amp; Bridges, 1988; Chang, </w:t>
      </w:r>
      <w:r w:rsidR="00443A0B">
        <w:rPr>
          <w:rFonts w:eastAsia="Calibri"/>
          <w:noProof/>
          <w:color w:val="auto"/>
          <w:szCs w:val="24"/>
          <w:lang w:val="pt-BR" w:eastAsia="en-US"/>
        </w:rPr>
        <w:t>e</w:t>
      </w:r>
      <w:r w:rsidR="007366C5">
        <w:rPr>
          <w:rFonts w:eastAsia="Calibri"/>
          <w:noProof/>
          <w:color w:val="auto"/>
          <w:szCs w:val="24"/>
          <w:lang w:val="pt-BR" w:eastAsia="en-US"/>
        </w:rPr>
        <w:t>t</w:t>
      </w:r>
      <w:r w:rsidR="00443A0B">
        <w:rPr>
          <w:rFonts w:eastAsia="Calibri"/>
          <w:noProof/>
          <w:color w:val="auto"/>
          <w:szCs w:val="24"/>
          <w:lang w:val="pt-BR" w:eastAsia="en-US"/>
        </w:rPr>
        <w:t xml:space="preserve"> al.</w:t>
      </w:r>
      <w:r w:rsidRPr="00545429">
        <w:rPr>
          <w:rFonts w:eastAsia="Calibri"/>
          <w:noProof/>
          <w:color w:val="auto"/>
          <w:szCs w:val="24"/>
          <w:lang w:val="pt-BR" w:eastAsia="en-US"/>
        </w:rPr>
        <w:t>, 1998)</w:t>
      </w:r>
      <w:r w:rsidRPr="00545429">
        <w:rPr>
          <w:rFonts w:eastAsia="Calibri"/>
          <w:color w:val="auto"/>
          <w:szCs w:val="24"/>
          <w:lang w:val="pt-BR" w:eastAsia="en-US"/>
        </w:rPr>
        <w:fldChar w:fldCharType="end"/>
      </w:r>
      <w:r w:rsidRPr="00545429">
        <w:rPr>
          <w:rFonts w:eastAsia="Calibri"/>
          <w:color w:val="auto"/>
          <w:szCs w:val="24"/>
          <w:lang w:val="pt-BR" w:eastAsia="en-US"/>
        </w:rPr>
        <w:t xml:space="preserve">. Podendo ainda se dividir em solúveis e não solúveis (celulose e hemicelulose) </w:t>
      </w:r>
      <w:r w:rsidRPr="00545429">
        <w:rPr>
          <w:rFonts w:eastAsia="Calibri"/>
          <w:color w:val="auto"/>
          <w:szCs w:val="24"/>
          <w:lang w:val="pt-BR" w:eastAsia="en-US"/>
        </w:rPr>
        <w:fldChar w:fldCharType="begin" w:fldLock="1"/>
      </w:r>
      <w:r w:rsidR="008F2CE5">
        <w:rPr>
          <w:rFonts w:eastAsia="Calibri"/>
          <w:color w:val="auto"/>
          <w:szCs w:val="24"/>
          <w:lang w:val="pt-BR" w:eastAsia="en-US"/>
        </w:rPr>
        <w:instrText>ADDIN CSL_CITATION { "citationItems" : [ { "id" : "ITEM-1", "itemData" : { "DOI" : "https://doi.org/10.1016/j.jcs.2007.10.001", "author" : [ { "dropping-particle" : "", "family" : "Ajila, C., Leevalathi, K., &amp; Rao", "given" : "U. P.", "non-dropping-particle" : "", "parse-names" : false, "suffix" : "" } ], "container-title" : "Journal of Cereal Science", "id" : "ITEM-1", "issue" : "2", "issued" : { "date-parts" : [ [ "2008" ] ] }, "page" : "319-326", "title" : "Improvement of dietary fiber content and antioxidant properties in soft dough biscuits with the incorporation of Mango peel powder", "type" : "article-journal", "volume" : "48" }, "uris" : [ "http://www.mendeley.com/documents/?uuid=26751822-3a46-4d95-9863-50e5890a4cad" ] } ], "mendeley" : { "formattedCitation" : "(Ajila, C., Leevalathi, K., &amp; Rao, 2008)", "manualFormatting" : "(Ajila, et al., 2008)", "plainTextFormattedCitation" : "(Ajila, C., Leevalathi, K., &amp; Rao, 2008)", "previouslyFormattedCitation" : "(Ajila, C., Leevalathi, K., &amp; Rao, 2008)" }, "properties" : { "noteIndex" : 0 }, "schema" : "https://github.com/citation-style-language/schema/raw/master/csl-citation.json" }</w:instrText>
      </w:r>
      <w:r w:rsidRPr="00545429">
        <w:rPr>
          <w:rFonts w:eastAsia="Calibri"/>
          <w:color w:val="auto"/>
          <w:szCs w:val="24"/>
          <w:lang w:val="pt-BR" w:eastAsia="en-US"/>
        </w:rPr>
        <w:fldChar w:fldCharType="separate"/>
      </w:r>
      <w:r w:rsidRPr="00545429">
        <w:rPr>
          <w:rFonts w:eastAsia="Calibri"/>
          <w:noProof/>
          <w:color w:val="auto"/>
          <w:szCs w:val="24"/>
          <w:lang w:val="pt-BR" w:eastAsia="en-US"/>
        </w:rPr>
        <w:t>(</w:t>
      </w:r>
      <w:r w:rsidR="001939AB">
        <w:rPr>
          <w:rFonts w:eastAsia="Calibri"/>
          <w:noProof/>
          <w:color w:val="auto"/>
          <w:szCs w:val="24"/>
          <w:lang w:val="pt-BR" w:eastAsia="en-US"/>
        </w:rPr>
        <w:t>Ajila, et al.</w:t>
      </w:r>
      <w:r w:rsidRPr="00545429">
        <w:rPr>
          <w:rFonts w:eastAsia="Calibri"/>
          <w:noProof/>
          <w:color w:val="auto"/>
          <w:szCs w:val="24"/>
          <w:lang w:val="pt-BR" w:eastAsia="en-US"/>
        </w:rPr>
        <w:t>, 2008)</w:t>
      </w:r>
      <w:r w:rsidRPr="00545429">
        <w:rPr>
          <w:rFonts w:eastAsia="Calibri"/>
          <w:color w:val="auto"/>
          <w:szCs w:val="24"/>
          <w:lang w:val="pt-BR" w:eastAsia="en-US"/>
        </w:rPr>
        <w:fldChar w:fldCharType="end"/>
      </w:r>
      <w:r w:rsidRPr="00545429">
        <w:rPr>
          <w:rFonts w:eastAsia="Calibri"/>
          <w:color w:val="auto"/>
          <w:szCs w:val="24"/>
          <w:lang w:val="pt-BR" w:eastAsia="en-US"/>
        </w:rPr>
        <w:t>.</w:t>
      </w:r>
    </w:p>
    <w:p w14:paraId="53B5D2FD" w14:textId="0FBAF3FA" w:rsidR="00545429" w:rsidRPr="00BC6116"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val="pt-BR" w:eastAsia="en-US"/>
        </w:rPr>
        <w:t xml:space="preserve">Juntamente com os antioxidantes, as fibras dietéticas são benéficas para a saúde, tendo sido usada para vários tratamentos como doenças de coração, obesidade, diabetes e alguns tipos de cancro </w:t>
      </w:r>
      <w:r w:rsidRPr="00545429">
        <w:rPr>
          <w:rFonts w:eastAsia="Calibri"/>
          <w:color w:val="auto"/>
          <w:szCs w:val="24"/>
          <w:lang w:val="pt-BR" w:eastAsia="en-US"/>
        </w:rPr>
        <w:fldChar w:fldCharType="begin" w:fldLock="1"/>
      </w:r>
      <w:r w:rsidR="00BD1ECB">
        <w:rPr>
          <w:rFonts w:eastAsia="Calibri"/>
          <w:color w:val="auto"/>
          <w:szCs w:val="24"/>
          <w:lang w:val="pt-BR" w:eastAsia="en-US"/>
        </w:rPr>
        <w:instrText>ADDIN CSL_CITATION { "citationItems" : [ { "id" : "ITEM-1", "itemData" : { "author" : [ { "dropping-particle" : "", "family" : "Chang, S.-C., Lee, M.-S., Lin, C.-J., &amp; Chen", "given" : "M.-L.", "non-dropping-particle" : "", "parse-names" : false, "suffix" : "" } ], "container-title" : "Asia Pacific Journal Clinical Nutrition", "id" : "ITEM-1", "issue" : "3/4", "issued" : { "date-parts" : [ [ "1998" ] ] }, "page" : "206-210", "title" : "Dietary fiber content and composition of fruit Taiwan", "type" : "article-journal", "volume" : "7" }, "uris" : [ "http://www.mendeley.com/documents/?uuid=dfe4e4fc-774b-4b28-9c2e-d3fbc54d32bd" ] }, { "id" : "ITEM-2", "itemData" : { "author" : [ { "dropping-particle" : "", "family" : "Ma, M., Mu, T., Sun, H., Zhang, M., Chen, J., &amp; Yan", "given" : "Z.", "non-dropping-particle" : "", "parse-names" : false, "suffix" : "" } ], "container-title" : "Food Chemistry", "id" : "ITEM-2", "issued" : { "date-parts" : [ [ "2015" ] ] }, "page" : "270-277", "title" : "Optimization of extration effciency by shear emulsifying assisted enzymatic hydrolysis and functional properties of dietary of dietary fiber from deoiled cumin ( Cuminum cyninum L.).", "type" : "article-journal", "volume" : "179" }, "uris" : [ "http://www.mendeley.com/documents/?uuid=64e99f34-3916-40de-bccc-303aada3da99" ] } ], "mendeley" : { "formattedCitation" : "(Chang, S.-C., Lee, M.-S., Lin, C.-J., &amp; Chen, 1998; Ma, M., Mu, T., Sun, H., Zhang, M., Chen, J., &amp; Yan, 2015)", "manualFormatting" : "(Chang et al., 1998; Ma, et al., 2015)", "plainTextFormattedCitation" : "(Chang, S.-C., Lee, M.-S., Lin, C.-J., &amp; Chen, 1998; Ma, M., Mu, T., Sun, H., Zhang, M., Chen, J., &amp; Yan, 2015)", "previouslyFormattedCitation" : "(Chang, S.-C., Lee, M.-S., Lin, C.-J., &amp; Chen, 1998; Ma, M., Mu, T., Sun, H., Zhang, M., Chen, J., &amp; Yan, 2015)" }, "properties" : { "noteIndex" : 0 }, "schema" : "https://github.com/citation-style-language/schema/raw/master/csl-citation.json" }</w:instrText>
      </w:r>
      <w:r w:rsidRPr="00545429">
        <w:rPr>
          <w:rFonts w:eastAsia="Calibri"/>
          <w:color w:val="auto"/>
          <w:szCs w:val="24"/>
          <w:lang w:val="pt-BR" w:eastAsia="en-US"/>
        </w:rPr>
        <w:fldChar w:fldCharType="separate"/>
      </w:r>
      <w:r w:rsidR="001939AB">
        <w:rPr>
          <w:rFonts w:eastAsia="Calibri"/>
          <w:noProof/>
          <w:color w:val="auto"/>
          <w:szCs w:val="24"/>
          <w:lang w:val="pt-BR" w:eastAsia="en-US"/>
        </w:rPr>
        <w:t>(Chang et al., 1998; Ma, et al.</w:t>
      </w:r>
      <w:r w:rsidRPr="00545429">
        <w:rPr>
          <w:rFonts w:eastAsia="Calibri"/>
          <w:noProof/>
          <w:color w:val="auto"/>
          <w:szCs w:val="24"/>
          <w:lang w:val="pt-BR" w:eastAsia="en-US"/>
        </w:rPr>
        <w:t>, 2015)</w:t>
      </w:r>
      <w:r w:rsidRPr="00545429">
        <w:rPr>
          <w:rFonts w:eastAsia="Calibri"/>
          <w:color w:val="auto"/>
          <w:szCs w:val="24"/>
          <w:lang w:val="pt-BR" w:eastAsia="en-US"/>
        </w:rPr>
        <w:fldChar w:fldCharType="end"/>
      </w:r>
      <w:r w:rsidRPr="00545429">
        <w:rPr>
          <w:rFonts w:eastAsia="Calibri"/>
          <w:color w:val="auto"/>
          <w:szCs w:val="24"/>
          <w:lang w:val="pt-BR" w:eastAsia="en-US"/>
        </w:rPr>
        <w:t>.</w:t>
      </w:r>
    </w:p>
    <w:p w14:paraId="016C1F10" w14:textId="7697383A" w:rsidR="00545429" w:rsidRPr="00BC6116"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val="pt-BR" w:eastAsia="en-US"/>
        </w:rPr>
        <w:t>Para determinar o teor total de fibras existem vários métodos de extração como químicos, enzimáticos</w:t>
      </w:r>
      <w:r w:rsidR="005D05A5">
        <w:rPr>
          <w:rFonts w:eastAsia="Calibri"/>
          <w:color w:val="auto"/>
          <w:szCs w:val="24"/>
          <w:lang w:val="pt-BR" w:eastAsia="en-US"/>
        </w:rPr>
        <w:t xml:space="preserve"> e</w:t>
      </w:r>
      <w:r w:rsidRPr="00545429">
        <w:rPr>
          <w:rFonts w:eastAsia="Calibri"/>
          <w:color w:val="auto"/>
          <w:szCs w:val="24"/>
          <w:lang w:val="pt-BR" w:eastAsia="en-US"/>
        </w:rPr>
        <w:t xml:space="preserve"> gravimétricos. </w:t>
      </w:r>
      <w:r w:rsidRPr="00BC6116">
        <w:rPr>
          <w:rFonts w:eastAsia="Calibri"/>
          <w:color w:val="auto"/>
          <w:szCs w:val="24"/>
          <w:lang w:eastAsia="en-US"/>
        </w:rPr>
        <w:t xml:space="preserve">(Sigma-Aldrich St. Louis MO, USA </w:t>
      </w:r>
      <w:r w:rsidRPr="00545429">
        <w:rPr>
          <w:rFonts w:eastAsia="Calibri"/>
          <w:color w:val="auto"/>
          <w:szCs w:val="24"/>
          <w:lang w:val="en-US" w:eastAsia="en-US"/>
        </w:rPr>
        <w:fldChar w:fldCharType="begin" w:fldLock="1"/>
      </w:r>
      <w:r w:rsidR="00BD1ECB">
        <w:rPr>
          <w:rFonts w:eastAsia="Calibri"/>
          <w:color w:val="auto"/>
          <w:szCs w:val="24"/>
          <w:lang w:eastAsia="en-US"/>
        </w:rPr>
        <w:instrText>ADDIN CSL_CITATION { "citationItems" : [ { "id" : "ITEM-1", "itemData" : { "author" : [ { "dropping-particle" : "", "family" : "Ma, M., Mu, T., Sun, H., Zhang, M., Chen, J., &amp; Yan", "given" : "Z.", "non-dropping-particle" : "", "parse-names" : false, "suffix" : "" } ], "container-title" : "Food Chemistry", "id" : "ITEM-1", "issued" : { "date-parts" : [ [ "2015" ] ] }, "page" : "270-277", "title" : "Optimization of extration effciency by shear emulsifying assisted enzymatic hydrolysis and functional properties of dietary of dietary fiber from deoiled cumin ( Cuminum cyninum L.).", "type" : "article-journal", "volume" : "179" }, "uris" : [ "http://www.mendeley.com/documents/?uuid=64e99f34-3916-40de-bccc-303aada3da99" ] } ], "mendeley" : { "formattedCitation" : "(Ma, M., Mu, T., Sun, H., Zhang, M., Chen, J., &amp; Yan, 2015)", "manualFormatting" : ";Ma, et al., 2015)", "plainTextFormattedCitation" : "(Ma, M., Mu, T., Sun, H., Zhang, M., Chen, J., &amp; Yan, 2015)", "previouslyFormattedCitation" : "(Ma, M., Mu, T., Sun, H., Zhang, M., Chen, J., &amp; Yan, 2015)" }, "properties" : { "noteIndex" : 0 }, "schema" : "https://github.com/citation-style-language/schema/raw/master/csl-citation.json" }</w:instrText>
      </w:r>
      <w:r w:rsidRPr="00545429">
        <w:rPr>
          <w:rFonts w:eastAsia="Calibri"/>
          <w:color w:val="auto"/>
          <w:szCs w:val="24"/>
          <w:lang w:val="en-US" w:eastAsia="en-US"/>
        </w:rPr>
        <w:fldChar w:fldCharType="separate"/>
      </w:r>
      <w:r w:rsidR="007B47D8" w:rsidRPr="00BC6116">
        <w:rPr>
          <w:rFonts w:eastAsia="Calibri"/>
          <w:noProof/>
          <w:color w:val="auto"/>
          <w:szCs w:val="24"/>
          <w:lang w:eastAsia="en-US"/>
        </w:rPr>
        <w:t>;Ma, et al.</w:t>
      </w:r>
      <w:r w:rsidRPr="00BC6116">
        <w:rPr>
          <w:rFonts w:eastAsia="Calibri"/>
          <w:noProof/>
          <w:color w:val="auto"/>
          <w:szCs w:val="24"/>
          <w:lang w:eastAsia="en-US"/>
        </w:rPr>
        <w:t>, 2015)</w:t>
      </w:r>
      <w:r w:rsidRPr="00545429">
        <w:rPr>
          <w:rFonts w:eastAsia="Calibri"/>
          <w:color w:val="auto"/>
          <w:szCs w:val="24"/>
          <w:lang w:val="en-US" w:eastAsia="en-US"/>
        </w:rPr>
        <w:fldChar w:fldCharType="end"/>
      </w:r>
    </w:p>
    <w:p w14:paraId="2BF0528D" w14:textId="0A543051"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Para avaliação do teor de fibra foi usado um kit comercial (Sigma-Aldrich, St.Louis MO,USA) que é </w:t>
      </w:r>
      <w:r w:rsidR="000838BD">
        <w:rPr>
          <w:rFonts w:eastAsia="Calibri"/>
          <w:color w:val="auto"/>
          <w:szCs w:val="24"/>
          <w:lang w:val="pt-BR" w:eastAsia="en-US"/>
        </w:rPr>
        <w:t>baseado numa combinação entre o</w:t>
      </w:r>
      <w:r w:rsidRPr="00545429">
        <w:rPr>
          <w:rFonts w:eastAsia="Calibri"/>
          <w:color w:val="auto"/>
          <w:szCs w:val="24"/>
          <w:lang w:val="pt-BR" w:eastAsia="en-US"/>
        </w:rPr>
        <w:t xml:space="preserve"> método enzimático e </w:t>
      </w:r>
      <w:r w:rsidR="000838BD">
        <w:rPr>
          <w:rFonts w:eastAsia="Calibri"/>
          <w:color w:val="auto"/>
          <w:szCs w:val="24"/>
          <w:lang w:val="pt-BR" w:eastAsia="en-US"/>
        </w:rPr>
        <w:t xml:space="preserve">o </w:t>
      </w:r>
      <w:r w:rsidRPr="00545429">
        <w:rPr>
          <w:rFonts w:eastAsia="Calibri"/>
          <w:color w:val="auto"/>
          <w:szCs w:val="24"/>
          <w:lang w:val="pt-BR" w:eastAsia="en-US"/>
        </w:rPr>
        <w:t>gravimétrico.</w:t>
      </w:r>
    </w:p>
    <w:p w14:paraId="3D9BA55E" w14:textId="727F94A1"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Primeiramente foi necessário preparar os cadinhos e os reagentes para a realização do método.</w:t>
      </w:r>
      <w:r w:rsidR="005D05A5">
        <w:rPr>
          <w:rFonts w:eastAsia="Calibri"/>
          <w:color w:val="auto"/>
          <w:szCs w:val="24"/>
          <w:lang w:val="pt-BR" w:eastAsia="en-US"/>
        </w:rPr>
        <w:t xml:space="preserve"> Inicialmente</w:t>
      </w:r>
      <w:r w:rsidRPr="00545429">
        <w:rPr>
          <w:rFonts w:eastAsia="Calibri"/>
          <w:color w:val="auto"/>
          <w:szCs w:val="24"/>
          <w:lang w:val="pt-BR" w:eastAsia="en-US"/>
        </w:rPr>
        <w:t xml:space="preserve"> os cadinhos foram lavados e aquecidos durante uma hora a 525ᵒC e depois arrefecidos. Depois voltaram a ser embebecidos em água e secos na estufa. Quando secos foi adicionado 0.5</w:t>
      </w:r>
      <w:r w:rsidR="00E96E23">
        <w:rPr>
          <w:rFonts w:eastAsia="Calibri"/>
          <w:color w:val="auto"/>
          <w:szCs w:val="24"/>
          <w:lang w:val="pt-BR" w:eastAsia="en-US"/>
        </w:rPr>
        <w:t xml:space="preserve"> </w:t>
      </w:r>
      <w:r w:rsidRPr="00545429">
        <w:rPr>
          <w:rFonts w:eastAsia="Calibri"/>
          <w:color w:val="auto"/>
          <w:szCs w:val="24"/>
          <w:lang w:val="pt-BR" w:eastAsia="en-US"/>
        </w:rPr>
        <w:t xml:space="preserve">g de celite em cada cadinhos e seco a 130ᵒC até se obter um peso constante. </w:t>
      </w:r>
      <w:r w:rsidR="00F9119E">
        <w:rPr>
          <w:rFonts w:eastAsia="Calibri"/>
          <w:color w:val="auto"/>
          <w:szCs w:val="24"/>
          <w:lang w:val="pt-BR" w:eastAsia="en-US"/>
        </w:rPr>
        <w:t>Após</w:t>
      </w:r>
      <w:r w:rsidRPr="00545429">
        <w:rPr>
          <w:rFonts w:eastAsia="Calibri"/>
          <w:color w:val="auto"/>
          <w:szCs w:val="24"/>
          <w:lang w:val="pt-BR" w:eastAsia="en-US"/>
        </w:rPr>
        <w:t xml:space="preserve"> </w:t>
      </w:r>
      <w:r w:rsidR="00F9119E">
        <w:rPr>
          <w:rFonts w:eastAsia="Calibri"/>
          <w:color w:val="auto"/>
          <w:szCs w:val="24"/>
          <w:lang w:val="pt-BR" w:eastAsia="en-US"/>
        </w:rPr>
        <w:t>terem sido</w:t>
      </w:r>
      <w:r w:rsidRPr="00545429">
        <w:rPr>
          <w:rFonts w:eastAsia="Calibri"/>
          <w:color w:val="auto"/>
          <w:szCs w:val="24"/>
          <w:lang w:val="pt-BR" w:eastAsia="en-US"/>
        </w:rPr>
        <w:t xml:space="preserve"> arrefecidos no exsicador e anotou-se o peso (cadinho + celite, W1). Foram armazenados no exsicador até ser necessário o seu uso.</w:t>
      </w:r>
    </w:p>
    <w:p w14:paraId="1723EAB2" w14:textId="62DC0532"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Nas preparações dos reagentes utilizamos etanol a 78% que foi obtido através de 207 mL de etanol 95% em 1L de água, tampão fosfato 0.08M a pH 6, onde se diluiu 1.4</w:t>
      </w:r>
      <w:r w:rsidR="005D05A5">
        <w:rPr>
          <w:rFonts w:eastAsia="Calibri"/>
          <w:color w:val="auto"/>
          <w:szCs w:val="24"/>
          <w:lang w:val="pt-BR" w:eastAsia="en-US"/>
        </w:rPr>
        <w:t xml:space="preserve"> </w:t>
      </w:r>
      <w:r w:rsidRPr="00545429">
        <w:rPr>
          <w:rFonts w:eastAsia="Calibri"/>
          <w:color w:val="auto"/>
          <w:szCs w:val="24"/>
          <w:lang w:val="pt-BR" w:eastAsia="en-US"/>
        </w:rPr>
        <w:t>g Na</w:t>
      </w:r>
      <w:r w:rsidRPr="00545429">
        <w:rPr>
          <w:rFonts w:eastAsia="Calibri"/>
          <w:color w:val="auto"/>
          <w:szCs w:val="24"/>
          <w:vertAlign w:val="subscript"/>
          <w:lang w:val="pt-BR" w:eastAsia="en-US"/>
        </w:rPr>
        <w:t>2</w:t>
      </w:r>
      <w:r w:rsidRPr="00545429">
        <w:rPr>
          <w:rFonts w:eastAsia="Calibri"/>
          <w:color w:val="auto"/>
          <w:szCs w:val="24"/>
          <w:lang w:val="pt-BR" w:eastAsia="en-US"/>
        </w:rPr>
        <w:t>HPO</w:t>
      </w:r>
      <w:r w:rsidRPr="00545429">
        <w:rPr>
          <w:rFonts w:eastAsia="Calibri"/>
          <w:color w:val="auto"/>
          <w:szCs w:val="24"/>
          <w:vertAlign w:val="subscript"/>
          <w:lang w:val="pt-BR" w:eastAsia="en-US"/>
        </w:rPr>
        <w:t>4</w:t>
      </w:r>
      <w:r w:rsidRPr="00545429">
        <w:rPr>
          <w:rFonts w:eastAsia="Calibri"/>
          <w:color w:val="auto"/>
          <w:szCs w:val="24"/>
          <w:lang w:val="pt-BR" w:eastAsia="en-US"/>
        </w:rPr>
        <w:t xml:space="preserve"> e 8.4</w:t>
      </w:r>
      <w:r w:rsidR="005D05A5">
        <w:rPr>
          <w:rFonts w:eastAsia="Calibri"/>
          <w:color w:val="auto"/>
          <w:szCs w:val="24"/>
          <w:lang w:val="pt-BR" w:eastAsia="en-US"/>
        </w:rPr>
        <w:t xml:space="preserve"> </w:t>
      </w:r>
      <w:r w:rsidRPr="00545429">
        <w:rPr>
          <w:rFonts w:eastAsia="Calibri"/>
          <w:color w:val="auto"/>
          <w:szCs w:val="24"/>
          <w:lang w:val="pt-BR" w:eastAsia="en-US"/>
        </w:rPr>
        <w:t>g NaH</w:t>
      </w:r>
      <w:r w:rsidRPr="00545429">
        <w:rPr>
          <w:rFonts w:eastAsia="Calibri"/>
          <w:color w:val="auto"/>
          <w:szCs w:val="24"/>
          <w:vertAlign w:val="subscript"/>
          <w:lang w:val="pt-BR" w:eastAsia="en-US"/>
        </w:rPr>
        <w:t>2</w:t>
      </w:r>
      <w:r w:rsidRPr="00545429">
        <w:rPr>
          <w:rFonts w:eastAsia="Calibri"/>
          <w:color w:val="auto"/>
          <w:szCs w:val="24"/>
          <w:lang w:val="pt-BR" w:eastAsia="en-US"/>
        </w:rPr>
        <w:t>PO</w:t>
      </w:r>
      <w:r w:rsidRPr="00545429">
        <w:rPr>
          <w:rFonts w:eastAsia="Calibri"/>
          <w:color w:val="auto"/>
          <w:szCs w:val="24"/>
          <w:vertAlign w:val="subscript"/>
          <w:lang w:val="pt-BR" w:eastAsia="en-US"/>
        </w:rPr>
        <w:t xml:space="preserve">4 </w:t>
      </w:r>
      <w:r w:rsidRPr="00545429">
        <w:rPr>
          <w:rFonts w:eastAsia="Calibri"/>
          <w:color w:val="auto"/>
          <w:szCs w:val="24"/>
          <w:lang w:val="pt-BR" w:eastAsia="en-US"/>
        </w:rPr>
        <w:t>anidrico em 700</w:t>
      </w:r>
      <w:r w:rsidR="00D4302C">
        <w:rPr>
          <w:rFonts w:eastAsia="Calibri"/>
          <w:color w:val="auto"/>
          <w:szCs w:val="24"/>
          <w:lang w:val="pt-BR" w:eastAsia="en-US"/>
        </w:rPr>
        <w:t xml:space="preserve"> </w:t>
      </w:r>
      <w:r w:rsidRPr="00545429">
        <w:rPr>
          <w:rFonts w:eastAsia="Calibri"/>
          <w:color w:val="auto"/>
          <w:szCs w:val="24"/>
          <w:lang w:val="pt-BR" w:eastAsia="en-US"/>
        </w:rPr>
        <w:t>mL de água, voltou-se a diluir em 1 L de água e verificou-se o pH.</w:t>
      </w:r>
    </w:p>
    <w:p w14:paraId="57EF5ADF" w14:textId="798EB19A"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Solução de Hidróxido de sódio, 0.275N, foi diluído 275 mL de solução NaOH 1.0 N para 1 L de água num frasco volumétrico. Por fim temos a solução de ácido clorídrico 0.325M, que foi feita através da diluição de 325 mL de HCl 1M num litro de água  usando um </w:t>
      </w:r>
      <w:r w:rsidR="005D05A5">
        <w:rPr>
          <w:rFonts w:eastAsia="Calibri"/>
          <w:color w:val="auto"/>
          <w:szCs w:val="24"/>
          <w:lang w:val="pt-BR" w:eastAsia="en-US"/>
        </w:rPr>
        <w:t>balão</w:t>
      </w:r>
      <w:r w:rsidR="005D05A5" w:rsidRPr="00545429">
        <w:rPr>
          <w:rFonts w:eastAsia="Calibri"/>
          <w:color w:val="auto"/>
          <w:szCs w:val="24"/>
          <w:lang w:val="pt-BR" w:eastAsia="en-US"/>
        </w:rPr>
        <w:t xml:space="preserve"> </w:t>
      </w:r>
      <w:r w:rsidRPr="00545429">
        <w:rPr>
          <w:rFonts w:eastAsia="Calibri"/>
          <w:color w:val="auto"/>
          <w:szCs w:val="24"/>
          <w:lang w:val="pt-BR" w:eastAsia="en-US"/>
        </w:rPr>
        <w:t>volumétrico.</w:t>
      </w:r>
    </w:p>
    <w:p w14:paraId="147DFD4C" w14:textId="3B8A2BC3"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Para iniciar a determinação do teor de fibra pesou-se 1g de amostra e adicionou-se 50 mL de tampão fosfato pH 6 e 0.1 mL de α-amilase e misturou-se bem. Os frascos foram cobertos com alumínio e levados para banho-maria com ligeira agitação em intervalos </w:t>
      </w:r>
      <w:r w:rsidRPr="00545429">
        <w:rPr>
          <w:rFonts w:eastAsia="Calibri"/>
          <w:color w:val="auto"/>
          <w:szCs w:val="24"/>
          <w:lang w:val="pt-BR" w:eastAsia="en-US"/>
        </w:rPr>
        <w:lastRenderedPageBreak/>
        <w:t xml:space="preserve">de 5 minutos. Foram incubados durante 15 minutos </w:t>
      </w:r>
      <w:r w:rsidR="005D05A5">
        <w:rPr>
          <w:rFonts w:eastAsia="Calibri"/>
          <w:color w:val="auto"/>
          <w:szCs w:val="24"/>
          <w:lang w:val="pt-BR" w:eastAsia="en-US"/>
        </w:rPr>
        <w:t>à</w:t>
      </w:r>
      <w:r w:rsidRPr="00545429">
        <w:rPr>
          <w:rFonts w:eastAsia="Calibri"/>
          <w:color w:val="auto"/>
          <w:szCs w:val="24"/>
          <w:lang w:val="pt-BR" w:eastAsia="en-US"/>
        </w:rPr>
        <w:t xml:space="preserve"> temperatura de 95</w:t>
      </w:r>
      <w:r w:rsidR="005D05A5">
        <w:rPr>
          <w:rFonts w:eastAsia="Calibri"/>
          <w:color w:val="auto"/>
          <w:szCs w:val="24"/>
          <w:lang w:val="pt-BR" w:eastAsia="en-US"/>
        </w:rPr>
        <w:t xml:space="preserve"> ºC</w:t>
      </w:r>
      <w:r w:rsidRPr="00545429">
        <w:rPr>
          <w:rFonts w:eastAsia="Calibri"/>
          <w:color w:val="auto"/>
          <w:szCs w:val="24"/>
          <w:lang w:val="pt-BR" w:eastAsia="en-US"/>
        </w:rPr>
        <w:t xml:space="preserve">. Depois foram arrefecidos </w:t>
      </w:r>
      <w:r w:rsidR="005D05A5">
        <w:rPr>
          <w:rFonts w:eastAsia="Calibri"/>
          <w:color w:val="auto"/>
          <w:szCs w:val="24"/>
          <w:lang w:val="pt-BR" w:eastAsia="en-US"/>
        </w:rPr>
        <w:t>à</w:t>
      </w:r>
      <w:r w:rsidRPr="00545429">
        <w:rPr>
          <w:rFonts w:eastAsia="Calibri"/>
          <w:color w:val="auto"/>
          <w:szCs w:val="24"/>
          <w:lang w:val="pt-BR" w:eastAsia="en-US"/>
        </w:rPr>
        <w:t xml:space="preserve"> temperatura ambiente</w:t>
      </w:r>
      <w:r w:rsidR="005D05A5">
        <w:rPr>
          <w:rFonts w:eastAsia="Calibri"/>
          <w:color w:val="auto"/>
          <w:szCs w:val="24"/>
          <w:lang w:val="pt-BR" w:eastAsia="en-US"/>
        </w:rPr>
        <w:t>,</w:t>
      </w:r>
      <w:r w:rsidRPr="00545429">
        <w:rPr>
          <w:rFonts w:eastAsia="Calibri"/>
          <w:color w:val="auto"/>
          <w:szCs w:val="24"/>
          <w:lang w:val="pt-BR" w:eastAsia="en-US"/>
        </w:rPr>
        <w:t xml:space="preserve"> </w:t>
      </w:r>
      <w:r w:rsidR="005D05A5" w:rsidRPr="00545429">
        <w:rPr>
          <w:rFonts w:eastAsia="Calibri"/>
          <w:color w:val="auto"/>
          <w:szCs w:val="24"/>
          <w:lang w:val="pt-BR" w:eastAsia="en-US"/>
        </w:rPr>
        <w:t>adicionando-se</w:t>
      </w:r>
      <w:r w:rsidR="005D05A5">
        <w:rPr>
          <w:rFonts w:eastAsia="Calibri"/>
          <w:color w:val="auto"/>
          <w:szCs w:val="24"/>
          <w:lang w:val="pt-BR" w:eastAsia="en-US"/>
        </w:rPr>
        <w:t xml:space="preserve"> de seguida</w:t>
      </w:r>
      <w:r w:rsidR="005D05A5" w:rsidRPr="00545429">
        <w:rPr>
          <w:rFonts w:eastAsia="Calibri"/>
          <w:color w:val="auto"/>
          <w:szCs w:val="24"/>
          <w:lang w:val="pt-BR" w:eastAsia="en-US"/>
        </w:rPr>
        <w:t xml:space="preserve"> 10 mL de NaOH (0.275N)</w:t>
      </w:r>
      <w:r w:rsidR="005D05A5">
        <w:rPr>
          <w:rFonts w:eastAsia="Calibri"/>
          <w:color w:val="auto"/>
          <w:szCs w:val="24"/>
          <w:lang w:val="pt-BR" w:eastAsia="en-US"/>
        </w:rPr>
        <w:t xml:space="preserve">, quando necessário </w:t>
      </w:r>
      <w:r w:rsidRPr="00545429">
        <w:rPr>
          <w:rFonts w:eastAsia="Calibri"/>
          <w:color w:val="auto"/>
          <w:szCs w:val="24"/>
          <w:lang w:val="pt-BR" w:eastAsia="en-US"/>
        </w:rPr>
        <w:t>ajust</w:t>
      </w:r>
      <w:r w:rsidR="005D05A5">
        <w:rPr>
          <w:rFonts w:eastAsia="Calibri"/>
          <w:color w:val="auto"/>
          <w:szCs w:val="24"/>
          <w:lang w:val="pt-BR" w:eastAsia="en-US"/>
        </w:rPr>
        <w:t>ou-se</w:t>
      </w:r>
      <w:r w:rsidRPr="00545429">
        <w:rPr>
          <w:rFonts w:eastAsia="Calibri"/>
          <w:color w:val="auto"/>
          <w:szCs w:val="24"/>
          <w:lang w:val="pt-BR" w:eastAsia="en-US"/>
        </w:rPr>
        <w:t xml:space="preserve"> o pH das soluções para 7,5 ±0.2,  com NaOH ou HCl</w:t>
      </w:r>
      <w:r w:rsidR="00B836E4">
        <w:rPr>
          <w:rFonts w:eastAsia="Calibri"/>
          <w:color w:val="auto"/>
          <w:szCs w:val="24"/>
          <w:lang w:val="pt-BR" w:eastAsia="en-US"/>
        </w:rPr>
        <w:t>, respectivamente, quando foi necessário subir ou descer o pH</w:t>
      </w:r>
      <w:r w:rsidRPr="00545429">
        <w:rPr>
          <w:rFonts w:eastAsia="Calibri"/>
          <w:color w:val="auto"/>
          <w:szCs w:val="24"/>
          <w:lang w:val="pt-BR" w:eastAsia="en-US"/>
        </w:rPr>
        <w:t>. Em seguida, foi feita uma solução de protease com 50</w:t>
      </w:r>
      <w:r w:rsidR="00B836E4">
        <w:rPr>
          <w:rFonts w:eastAsia="Calibri"/>
          <w:color w:val="auto"/>
          <w:szCs w:val="24"/>
          <w:lang w:val="pt-BR" w:eastAsia="en-US"/>
        </w:rPr>
        <w:t xml:space="preserve"> </w:t>
      </w:r>
      <w:r w:rsidRPr="00545429">
        <w:rPr>
          <w:rFonts w:eastAsia="Calibri"/>
          <w:color w:val="auto"/>
          <w:szCs w:val="24"/>
          <w:lang w:val="pt-BR" w:eastAsia="en-US"/>
        </w:rPr>
        <w:t xml:space="preserve">mg/mL com tampão fosfato </w:t>
      </w:r>
      <w:r w:rsidR="00B836E4">
        <w:rPr>
          <w:rFonts w:eastAsia="Calibri"/>
          <w:color w:val="auto"/>
          <w:szCs w:val="24"/>
          <w:lang w:val="pt-BR" w:eastAsia="en-US"/>
        </w:rPr>
        <w:t>tendo sido</w:t>
      </w:r>
      <w:r w:rsidRPr="00545429">
        <w:rPr>
          <w:rFonts w:eastAsia="Calibri"/>
          <w:color w:val="auto"/>
          <w:szCs w:val="24"/>
          <w:lang w:val="pt-BR" w:eastAsia="en-US"/>
        </w:rPr>
        <w:t xml:space="preserve"> pipetado 0.1</w:t>
      </w:r>
      <w:r w:rsidR="00B836E4">
        <w:rPr>
          <w:rFonts w:eastAsia="Calibri"/>
          <w:color w:val="auto"/>
          <w:szCs w:val="24"/>
          <w:lang w:val="pt-BR" w:eastAsia="en-US"/>
        </w:rPr>
        <w:t xml:space="preserve"> </w:t>
      </w:r>
      <w:r w:rsidRPr="00545429">
        <w:rPr>
          <w:rFonts w:eastAsia="Calibri"/>
          <w:color w:val="auto"/>
          <w:szCs w:val="24"/>
          <w:lang w:val="pt-BR" w:eastAsia="en-US"/>
        </w:rPr>
        <w:t>mL em cada amostra. Voltou-se a cobrir os frascos com alumínio e</w:t>
      </w:r>
      <w:r w:rsidR="00B836E4">
        <w:rPr>
          <w:rFonts w:eastAsia="Calibri"/>
          <w:color w:val="auto"/>
          <w:szCs w:val="24"/>
          <w:lang w:val="pt-BR" w:eastAsia="en-US"/>
        </w:rPr>
        <w:t xml:space="preserve"> colocados</w:t>
      </w:r>
      <w:r w:rsidRPr="00545429">
        <w:rPr>
          <w:rFonts w:eastAsia="Calibri"/>
          <w:color w:val="auto"/>
          <w:szCs w:val="24"/>
          <w:lang w:val="pt-BR" w:eastAsia="en-US"/>
        </w:rPr>
        <w:t xml:space="preserve"> em banho-maria a 60ᵒC com agitação durante 30 minutos. Depois foi arrefecido a temperatura ambiente e </w:t>
      </w:r>
      <w:r w:rsidR="00B836E4">
        <w:rPr>
          <w:rFonts w:eastAsia="Calibri"/>
          <w:color w:val="auto"/>
          <w:szCs w:val="24"/>
          <w:lang w:val="pt-BR" w:eastAsia="en-US"/>
        </w:rPr>
        <w:t>adicionou</w:t>
      </w:r>
      <w:r w:rsidR="00B836E4" w:rsidRPr="00545429">
        <w:rPr>
          <w:rFonts w:eastAsia="Calibri"/>
          <w:color w:val="auto"/>
          <w:szCs w:val="24"/>
          <w:lang w:val="pt-BR" w:eastAsia="en-US"/>
        </w:rPr>
        <w:t xml:space="preserve">-se 10 mL de HCl 0.375M </w:t>
      </w:r>
      <w:r w:rsidR="00B836E4">
        <w:rPr>
          <w:rFonts w:eastAsia="Calibri"/>
          <w:color w:val="auto"/>
          <w:szCs w:val="24"/>
          <w:lang w:val="pt-BR" w:eastAsia="en-US"/>
        </w:rPr>
        <w:t xml:space="preserve">e quando necessário foi </w:t>
      </w:r>
      <w:r w:rsidRPr="00545429">
        <w:rPr>
          <w:rFonts w:eastAsia="Calibri"/>
          <w:color w:val="auto"/>
          <w:szCs w:val="24"/>
          <w:lang w:val="pt-BR" w:eastAsia="en-US"/>
        </w:rPr>
        <w:t>ajustado o pH</w:t>
      </w:r>
      <w:r w:rsidR="00B836E4">
        <w:rPr>
          <w:rFonts w:eastAsia="Calibri"/>
          <w:color w:val="auto"/>
          <w:szCs w:val="24"/>
          <w:lang w:val="pt-BR" w:eastAsia="en-US"/>
        </w:rPr>
        <w:t xml:space="preserve"> para valores</w:t>
      </w:r>
      <w:r w:rsidRPr="00545429">
        <w:rPr>
          <w:rFonts w:eastAsia="Calibri"/>
          <w:color w:val="auto"/>
          <w:szCs w:val="24"/>
          <w:lang w:val="pt-BR" w:eastAsia="en-US"/>
        </w:rPr>
        <w:t xml:space="preserve"> entre 4 a 4,6. De imediato foi acrescentado 0.1 mL de amiloglucosidase em cada frasco e novamente coberto com alumínio e posto em banho-maria a 60</w:t>
      </w:r>
      <w:r w:rsidR="00D4302C">
        <w:rPr>
          <w:rFonts w:eastAsia="Calibri"/>
          <w:color w:val="auto"/>
          <w:szCs w:val="24"/>
          <w:lang w:val="pt-BR" w:eastAsia="en-US"/>
        </w:rPr>
        <w:t>º</w:t>
      </w:r>
      <w:r w:rsidRPr="00545429">
        <w:rPr>
          <w:rFonts w:eastAsia="Calibri"/>
          <w:color w:val="auto"/>
          <w:szCs w:val="24"/>
          <w:lang w:val="pt-BR" w:eastAsia="en-US"/>
        </w:rPr>
        <w:t>C com agitação por 30 minutos. Depois de retirados do banho-maria foram adicionados 4 volumes de etanol 95% e as soluções ficaram a precipitar de um dia para o outro.</w:t>
      </w:r>
    </w:p>
    <w:p w14:paraId="406B0FBF" w14:textId="7777777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No dia seguinte foi realizada a filtração, onde os cadinhos são colocados por cima de uma kitassato e aplicada sucção. Primeiro foi despejado etanol a 78% de forma a molhar e distribuir o celite só depois foram transferidas as soluções com o precipitado. Após as soluções foi necessário lavar o resíduo com 3 porções de 20 mL de etanol 78%, 2 porções de 10 mL de etanol 95% e 2 porções de 10mL de acetona.</w:t>
      </w:r>
    </w:p>
    <w:p w14:paraId="6647E2A2" w14:textId="7777777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As amostras que contém os resíduos foram colocadas na estufa a 105ᵒC durante a noite.</w:t>
      </w:r>
    </w:p>
    <w:p w14:paraId="6ECE4F4B" w14:textId="15C356E1"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No dia seguinte</w:t>
      </w:r>
      <w:r w:rsidR="00157020">
        <w:rPr>
          <w:rFonts w:eastAsia="Calibri"/>
          <w:color w:val="auto"/>
          <w:szCs w:val="24"/>
          <w:lang w:val="pt-BR" w:eastAsia="en-US"/>
        </w:rPr>
        <w:t>, registou-se o peso das amostras</w:t>
      </w:r>
      <w:r w:rsidRPr="00545429">
        <w:rPr>
          <w:rFonts w:eastAsia="Calibri"/>
          <w:color w:val="auto"/>
          <w:szCs w:val="24"/>
          <w:lang w:val="pt-BR" w:eastAsia="en-US"/>
        </w:rPr>
        <w:t xml:space="preserve"> ( resíduo + celite + cadinho,W2).</w:t>
      </w:r>
    </w:p>
    <w:p w14:paraId="7BC4E668" w14:textId="7638ADFB" w:rsidR="00545429" w:rsidRPr="00545429" w:rsidRDefault="00545429" w:rsidP="00545429">
      <w:pPr>
        <w:spacing w:after="200" w:line="360" w:lineRule="auto"/>
        <w:ind w:left="0" w:right="0" w:firstLine="0"/>
        <w:rPr>
          <w:szCs w:val="24"/>
        </w:rPr>
      </w:pPr>
      <w:r w:rsidRPr="00545429">
        <w:rPr>
          <w:szCs w:val="24"/>
        </w:rPr>
        <w:t xml:space="preserve">Para analisar os resíduos usamos o método de Kjeldhal, este método serve para determinar as proteínas totais </w:t>
      </w:r>
      <w:sdt>
        <w:sdtPr>
          <w:rPr>
            <w:szCs w:val="24"/>
          </w:rPr>
          <w:id w:val="1378272479"/>
          <w:citation/>
        </w:sdtPr>
        <w:sdtEndPr/>
        <w:sdtContent>
          <w:r w:rsidRPr="00545429">
            <w:rPr>
              <w:szCs w:val="24"/>
            </w:rPr>
            <w:fldChar w:fldCharType="begin"/>
          </w:r>
          <w:r w:rsidRPr="00545429">
            <w:rPr>
              <w:szCs w:val="24"/>
            </w:rPr>
            <w:instrText xml:space="preserve"> CITATION Maf05 \l 2070 </w:instrText>
          </w:r>
          <w:r w:rsidRPr="00545429">
            <w:rPr>
              <w:szCs w:val="24"/>
            </w:rPr>
            <w:fldChar w:fldCharType="separate"/>
          </w:r>
          <w:r w:rsidRPr="00545429">
            <w:rPr>
              <w:noProof/>
              <w:szCs w:val="24"/>
            </w:rPr>
            <w:t>(Moreira, 2005)</w:t>
          </w:r>
          <w:r w:rsidRPr="00545429">
            <w:rPr>
              <w:szCs w:val="24"/>
            </w:rPr>
            <w:fldChar w:fldCharType="end"/>
          </w:r>
        </w:sdtContent>
      </w:sdt>
      <w:r w:rsidRPr="00545429">
        <w:rPr>
          <w:szCs w:val="24"/>
        </w:rPr>
        <w:t>, baseia-se na ação do ácido sulfúrico concentrado na presença de catalisadores sobre formas azotadas existentes nas amostras, que depois são transformadas em sulfato de amónio. Este por ação do NaOH liberta amoníaco que é fixado num soluto conhecido e na presença de um indicador determina-se a quantidade de amoníaco fixado e consequentemente quantidade de azoto na amostra</w:t>
      </w:r>
      <w:r w:rsidR="0033358E">
        <w:rPr>
          <w:szCs w:val="24"/>
        </w:rPr>
        <w:t>.</w:t>
      </w:r>
    </w:p>
    <w:p w14:paraId="4BC80EDA" w14:textId="77777777" w:rsidR="00545429" w:rsidRPr="00545429" w:rsidRDefault="00545429" w:rsidP="00545429">
      <w:pPr>
        <w:spacing w:after="200" w:line="360" w:lineRule="auto"/>
        <w:ind w:left="0" w:right="0" w:firstLine="0"/>
        <w:rPr>
          <w:rFonts w:eastAsia="Calibri"/>
          <w:color w:val="auto"/>
          <w:szCs w:val="24"/>
          <w:lang w:val="pt-BR" w:eastAsia="en-US"/>
        </w:rPr>
      </w:pPr>
      <w:r w:rsidRPr="00545429">
        <w:rPr>
          <w:rFonts w:eastAsia="Calibri"/>
          <w:color w:val="auto"/>
          <w:szCs w:val="24"/>
          <w:lang w:val="pt-BR" w:eastAsia="en-US"/>
        </w:rPr>
        <w:t xml:space="preserve">Começou-se por introduzir os resíduos depois de pesados nos tubos Kjeldhal onde ocorreu a digestão com a adição de 10 mL de catalisador em cada tubo. Em seguida foram postos na bateria de digestão aumentando a temperatura gradualmente até aos </w:t>
      </w:r>
      <w:r w:rsidRPr="00545429">
        <w:rPr>
          <w:rFonts w:eastAsia="Calibri"/>
          <w:color w:val="auto"/>
          <w:szCs w:val="24"/>
          <w:lang w:val="pt-BR" w:eastAsia="en-US"/>
        </w:rPr>
        <w:lastRenderedPageBreak/>
        <w:t>400ᵒC, a digestão termina quando desaparece a substância sólida e se transforma numa solução incolor, nessa altura retiram-se os tubos e deixa-se arrefecer.</w:t>
      </w:r>
    </w:p>
    <w:p w14:paraId="54EEB0C3" w14:textId="15DE2CE6" w:rsidR="00545429" w:rsidRPr="00545429" w:rsidRDefault="00545429" w:rsidP="00545429">
      <w:pPr>
        <w:spacing w:after="200" w:line="360" w:lineRule="auto"/>
        <w:ind w:left="0" w:right="0" w:firstLine="0"/>
        <w:rPr>
          <w:rFonts w:eastAsia="Calibri"/>
          <w:color w:val="auto"/>
          <w:szCs w:val="24"/>
          <w:lang w:eastAsia="en-US"/>
        </w:rPr>
      </w:pPr>
      <w:r w:rsidRPr="00545429">
        <w:rPr>
          <w:rFonts w:eastAsia="Calibri"/>
          <w:color w:val="auto"/>
          <w:szCs w:val="24"/>
          <w:lang w:eastAsia="en-US"/>
        </w:rPr>
        <w:t>De seguida, deu-se início à destilação, transferiu-se o digerido para o aparelho de destilação</w:t>
      </w:r>
      <w:r w:rsidR="00166370">
        <w:rPr>
          <w:rFonts w:eastAsia="Calibri"/>
          <w:color w:val="auto"/>
          <w:szCs w:val="24"/>
          <w:lang w:eastAsia="en-US"/>
        </w:rPr>
        <w:t xml:space="preserve">. </w:t>
      </w:r>
      <w:r w:rsidRPr="00545429">
        <w:rPr>
          <w:rFonts w:eastAsia="Calibri"/>
          <w:color w:val="auto"/>
          <w:szCs w:val="24"/>
          <w:lang w:eastAsia="en-US"/>
        </w:rPr>
        <w:t>Na saída do aparelho colocou-se um balão erlenmeyer de 250 mL contendo 10 mL de ácido bórico com 3 gotas de indicador misto (vermelho metil e azul metileno panreac). Iniciou-se a destilação segundo as instruções do manual do aparelho de destilação pro-nitro.</w:t>
      </w:r>
    </w:p>
    <w:p w14:paraId="6400146F" w14:textId="77777777" w:rsidR="00545429" w:rsidRPr="00545429" w:rsidRDefault="00545429" w:rsidP="00545429">
      <w:pPr>
        <w:spacing w:after="200" w:line="276" w:lineRule="auto"/>
        <w:ind w:left="0" w:right="0" w:firstLine="0"/>
        <w:rPr>
          <w:rFonts w:eastAsia="Calibri"/>
          <w:color w:val="auto"/>
          <w:szCs w:val="24"/>
          <w:lang w:eastAsia="en-US"/>
        </w:rPr>
      </w:pPr>
      <w:r w:rsidRPr="00545429">
        <w:rPr>
          <w:rFonts w:eastAsia="Calibri"/>
          <w:color w:val="auto"/>
          <w:szCs w:val="24"/>
          <w:lang w:eastAsia="en-US"/>
        </w:rPr>
        <w:t>Por fim é feita uma titulação com HCl 0.1M até que o indicador vire rosa. Registou-se o volume de HCl gasto.</w:t>
      </w:r>
    </w:p>
    <w:p w14:paraId="721CE03B" w14:textId="77777777" w:rsidR="00545429" w:rsidRPr="00545429" w:rsidRDefault="00545429" w:rsidP="00545429">
      <w:pPr>
        <w:spacing w:after="200" w:line="276" w:lineRule="auto"/>
        <w:ind w:left="0" w:right="0" w:firstLine="0"/>
        <w:rPr>
          <w:rFonts w:eastAsia="Calibri"/>
          <w:color w:val="auto"/>
          <w:szCs w:val="24"/>
          <w:lang w:eastAsia="en-US"/>
        </w:rPr>
      </w:pPr>
      <w:r w:rsidRPr="00545429">
        <w:rPr>
          <w:rFonts w:eastAsia="Calibri"/>
          <w:color w:val="auto"/>
          <w:szCs w:val="24"/>
          <w:lang w:eastAsia="en-US"/>
        </w:rPr>
        <w:t xml:space="preserve">O azoto total foi expresso em percentagem e para o seu cálculo recorreu-se à seguinte fórmula: </w:t>
      </w:r>
    </w:p>
    <w:p w14:paraId="58D32594" w14:textId="77777777" w:rsidR="00545429" w:rsidRPr="00545429" w:rsidRDefault="00545429" w:rsidP="00545429">
      <w:pPr>
        <w:spacing w:after="200" w:line="276" w:lineRule="auto"/>
        <w:ind w:left="0" w:right="0" w:firstLine="0"/>
        <w:rPr>
          <w:color w:val="auto"/>
          <w:szCs w:val="24"/>
          <w:lang w:eastAsia="en-US"/>
        </w:rPr>
      </w:pPr>
      <m:oMathPara>
        <m:oMath>
          <m:r>
            <w:rPr>
              <w:rFonts w:ascii="Cambria Math" w:eastAsia="Calibri" w:hAnsi="Cambria Math"/>
              <w:color w:val="auto"/>
              <w:szCs w:val="24"/>
              <w:lang w:eastAsia="en-US"/>
            </w:rPr>
            <m:t>%N=</m:t>
          </m:r>
          <m:f>
            <m:fPr>
              <m:ctrlPr>
                <w:rPr>
                  <w:rFonts w:ascii="Cambria Math" w:eastAsia="Calibri" w:hAnsi="Cambria Math"/>
                  <w:i/>
                  <w:color w:val="auto"/>
                  <w:szCs w:val="24"/>
                  <w:lang w:eastAsia="en-US"/>
                </w:rPr>
              </m:ctrlPr>
            </m:fPr>
            <m:num>
              <m:d>
                <m:dPr>
                  <m:ctrlPr>
                    <w:rPr>
                      <w:rFonts w:ascii="Cambria Math" w:eastAsia="Calibri" w:hAnsi="Cambria Math"/>
                      <w:i/>
                      <w:color w:val="auto"/>
                      <w:szCs w:val="24"/>
                      <w:lang w:eastAsia="en-US"/>
                    </w:rPr>
                  </m:ctrlPr>
                </m:dPr>
                <m:e>
                  <m:r>
                    <w:rPr>
                      <w:rFonts w:ascii="Cambria Math" w:eastAsia="Calibri" w:hAnsi="Cambria Math"/>
                      <w:color w:val="auto"/>
                      <w:szCs w:val="24"/>
                      <w:lang w:eastAsia="en-US"/>
                    </w:rPr>
                    <m:t>V*f*0.014*100</m:t>
                  </m:r>
                </m:e>
              </m:d>
            </m:num>
            <m:den>
              <m:r>
                <w:rPr>
                  <w:rFonts w:ascii="Cambria Math" w:eastAsia="Calibri" w:hAnsi="Cambria Math"/>
                  <w:color w:val="auto"/>
                  <w:szCs w:val="24"/>
                  <w:lang w:eastAsia="en-US"/>
                </w:rPr>
                <m:t>P</m:t>
              </m:r>
            </m:den>
          </m:f>
        </m:oMath>
      </m:oMathPara>
    </w:p>
    <w:p w14:paraId="37557934" w14:textId="7777647A" w:rsidR="00545429" w:rsidRPr="00545429" w:rsidRDefault="00545429" w:rsidP="00545429">
      <w:pPr>
        <w:spacing w:after="200" w:line="360" w:lineRule="auto"/>
        <w:ind w:left="0" w:right="0" w:firstLine="0"/>
        <w:rPr>
          <w:color w:val="auto"/>
          <w:szCs w:val="24"/>
          <w:lang w:eastAsia="en-US"/>
        </w:rPr>
      </w:pPr>
      <w:r w:rsidRPr="00545429">
        <w:rPr>
          <w:color w:val="auto"/>
          <w:szCs w:val="24"/>
          <w:lang w:eastAsia="en-US"/>
        </w:rPr>
        <w:t>Onde V corresponde ao volume de mL de H</w:t>
      </w:r>
      <w:r w:rsidR="00CF2291">
        <w:rPr>
          <w:color w:val="auto"/>
          <w:szCs w:val="24"/>
          <w:lang w:eastAsia="en-US"/>
        </w:rPr>
        <w:t>C</w:t>
      </w:r>
      <w:r w:rsidRPr="00545429">
        <w:rPr>
          <w:color w:val="auto"/>
          <w:szCs w:val="24"/>
          <w:lang w:eastAsia="en-US"/>
        </w:rPr>
        <w:t>l gasto na titulação, f corresponde ao título de HCl, P corresponde ao peso da amostra e 0.014 corresponde ao valor (g) de N que reage com 1 mL de HCl 1N</w:t>
      </w:r>
    </w:p>
    <w:p w14:paraId="6517A2F2" w14:textId="3A56848C" w:rsidR="00545429" w:rsidRPr="00545429" w:rsidRDefault="00545429" w:rsidP="00545429">
      <w:pPr>
        <w:spacing w:after="200" w:line="360" w:lineRule="auto"/>
        <w:ind w:left="0" w:right="0" w:firstLine="0"/>
        <w:rPr>
          <w:color w:val="auto"/>
          <w:szCs w:val="24"/>
          <w:lang w:eastAsia="en-US"/>
        </w:rPr>
      </w:pPr>
      <w:r w:rsidRPr="00545429">
        <w:rPr>
          <w:color w:val="auto"/>
          <w:szCs w:val="24"/>
          <w:lang w:eastAsia="en-US"/>
        </w:rPr>
        <w:t>Voltou-se a realizar método de Sigma-Aldrich para se analisar as cinzas, ou seja, a partir da filtração os resíduos depois de pesados vão diretamente para a mufla a 525ᵒC por 5 horas, são arrefecidas e pesadas e retirado o seu peso (cinza+celite+cadinho, W3).</w:t>
      </w:r>
    </w:p>
    <w:p w14:paraId="56D2FCB3" w14:textId="77777777" w:rsidR="00545429" w:rsidRPr="00545429" w:rsidRDefault="00545429" w:rsidP="00545429">
      <w:pPr>
        <w:spacing w:after="200" w:line="360" w:lineRule="auto"/>
        <w:ind w:left="0" w:right="0" w:firstLine="0"/>
        <w:rPr>
          <w:color w:val="auto"/>
          <w:szCs w:val="24"/>
          <w:lang w:eastAsia="en-US"/>
        </w:rPr>
      </w:pPr>
      <w:r w:rsidRPr="00545429">
        <w:rPr>
          <w:color w:val="auto"/>
          <w:szCs w:val="24"/>
          <w:lang w:eastAsia="en-US"/>
        </w:rPr>
        <w:t>Para realização dos cálculos utilizamos as seguintes fórmulas</w:t>
      </w:r>
    </w:p>
    <w:p w14:paraId="7735303F" w14:textId="77777777" w:rsidR="00545429" w:rsidRPr="00545429" w:rsidRDefault="00545429" w:rsidP="00545429">
      <w:pPr>
        <w:spacing w:after="200" w:line="276" w:lineRule="auto"/>
        <w:ind w:left="0" w:right="0" w:firstLine="0"/>
        <w:rPr>
          <w:color w:val="auto"/>
          <w:szCs w:val="24"/>
          <w:lang w:eastAsia="en-US"/>
        </w:rPr>
      </w:pPr>
      <m:oMathPara>
        <m:oMath>
          <m:r>
            <w:rPr>
              <w:rFonts w:ascii="Cambria Math" w:hAnsi="Cambria Math"/>
              <w:color w:val="auto"/>
              <w:szCs w:val="24"/>
              <w:lang w:eastAsia="en-US"/>
            </w:rPr>
            <m:t>Peso do resíduo=W2-W1</m:t>
          </m:r>
        </m:oMath>
      </m:oMathPara>
    </w:p>
    <w:p w14:paraId="4E88DD31" w14:textId="77777777" w:rsidR="00545429" w:rsidRPr="00545429" w:rsidRDefault="00545429" w:rsidP="00545429">
      <w:pPr>
        <w:spacing w:after="200" w:line="276" w:lineRule="auto"/>
        <w:ind w:left="0" w:right="0" w:firstLine="0"/>
        <w:rPr>
          <w:color w:val="auto"/>
          <w:szCs w:val="24"/>
          <w:lang w:eastAsia="en-US"/>
        </w:rPr>
      </w:pPr>
      <m:oMathPara>
        <m:oMath>
          <m:r>
            <w:rPr>
              <w:rFonts w:ascii="Cambria Math" w:hAnsi="Cambria Math"/>
              <w:color w:val="auto"/>
              <w:szCs w:val="24"/>
              <w:lang w:eastAsia="en-US"/>
            </w:rPr>
            <m:t>Peso da cinza=W3-W1</m:t>
          </m:r>
        </m:oMath>
      </m:oMathPara>
    </w:p>
    <w:p w14:paraId="739A87D3" w14:textId="77777777" w:rsidR="00545429" w:rsidRPr="00545429" w:rsidRDefault="00CF2291" w:rsidP="00882CE6">
      <w:pPr>
        <w:tabs>
          <w:tab w:val="left" w:pos="5496"/>
        </w:tabs>
        <w:spacing w:after="200" w:line="360" w:lineRule="auto"/>
        <w:ind w:left="0" w:right="0" w:firstLine="0"/>
        <w:rPr>
          <w:color w:val="auto"/>
          <w:szCs w:val="24"/>
          <w:lang w:val="pt-BR"/>
        </w:rPr>
      </w:pPr>
      <w:r>
        <w:rPr>
          <w:color w:val="auto"/>
          <w:szCs w:val="24"/>
          <w:lang w:val="pt-BR"/>
        </w:rPr>
        <w:tab/>
      </w:r>
    </w:p>
    <w:p w14:paraId="0A59A07E" w14:textId="77777777" w:rsidR="00545429" w:rsidRPr="00545429" w:rsidRDefault="00545429" w:rsidP="00545429">
      <w:pPr>
        <w:spacing w:after="200" w:line="360" w:lineRule="auto"/>
        <w:ind w:left="0" w:right="0" w:firstLine="0"/>
        <w:rPr>
          <w:color w:val="auto"/>
          <w:szCs w:val="24"/>
          <w:lang w:val="pt-BR" w:eastAsia="en-US"/>
        </w:rPr>
      </w:pPr>
      <m:oMathPara>
        <m:oMath>
          <m:r>
            <w:rPr>
              <w:rFonts w:ascii="Cambria Math" w:eastAsia="Calibri" w:hAnsi="Cambria Math"/>
              <w:color w:val="auto"/>
              <w:szCs w:val="24"/>
              <w:lang w:val="pt-BR" w:eastAsia="en-US"/>
            </w:rPr>
            <m:t>%TDF=</m:t>
          </m:r>
          <m:d>
            <m:dPr>
              <m:ctrlPr>
                <w:rPr>
                  <w:rFonts w:ascii="Cambria Math" w:eastAsia="Calibri" w:hAnsi="Cambria Math"/>
                  <w:i/>
                  <w:color w:val="auto"/>
                  <w:szCs w:val="24"/>
                  <w:lang w:val="pt-BR" w:eastAsia="en-US"/>
                </w:rPr>
              </m:ctrlPr>
            </m:dPr>
            <m:e>
              <m:f>
                <m:fPr>
                  <m:ctrlPr>
                    <w:rPr>
                      <w:rFonts w:ascii="Cambria Math" w:eastAsia="Calibri" w:hAnsi="Cambria Math"/>
                      <w:i/>
                      <w:color w:val="auto"/>
                      <w:szCs w:val="24"/>
                      <w:lang w:val="pt-BR" w:eastAsia="en-US"/>
                    </w:rPr>
                  </m:ctrlPr>
                </m:fPr>
                <m:num>
                  <m:r>
                    <w:rPr>
                      <w:rFonts w:ascii="Cambria Math" w:eastAsia="Calibri" w:hAnsi="Cambria Math"/>
                      <w:color w:val="auto"/>
                      <w:szCs w:val="24"/>
                      <w:lang w:val="pt-BR" w:eastAsia="en-US"/>
                    </w:rPr>
                    <m:t>R-P-A</m:t>
                  </m:r>
                </m:num>
                <m:den>
                  <m:r>
                    <w:rPr>
                      <w:rFonts w:ascii="Cambria Math" w:eastAsia="Calibri" w:hAnsi="Cambria Math"/>
                      <w:color w:val="auto"/>
                      <w:szCs w:val="24"/>
                      <w:lang w:val="pt-BR" w:eastAsia="en-US"/>
                    </w:rPr>
                    <m:t>SW</m:t>
                  </m:r>
                </m:den>
              </m:f>
            </m:e>
          </m:d>
          <m:r>
            <w:rPr>
              <w:rFonts w:ascii="Cambria Math" w:eastAsia="Calibri" w:hAnsi="Cambria Math"/>
              <w:color w:val="auto"/>
              <w:szCs w:val="24"/>
              <w:lang w:val="pt-BR" w:eastAsia="en-US"/>
            </w:rPr>
            <m:t>*100</m:t>
          </m:r>
        </m:oMath>
      </m:oMathPara>
    </w:p>
    <w:p w14:paraId="65513560" w14:textId="388F778F" w:rsidR="00C4111F" w:rsidRPr="008474A4" w:rsidRDefault="00545429" w:rsidP="00545429">
      <w:pPr>
        <w:spacing w:after="200" w:line="360" w:lineRule="auto"/>
        <w:ind w:left="0" w:right="0" w:firstLine="0"/>
        <w:rPr>
          <w:color w:val="auto"/>
          <w:szCs w:val="24"/>
          <w:lang w:val="pt-BR" w:eastAsia="en-US"/>
        </w:rPr>
      </w:pPr>
      <w:r w:rsidRPr="00545429">
        <w:rPr>
          <w:color w:val="auto"/>
          <w:szCs w:val="24"/>
          <w:lang w:val="pt-BR" w:eastAsia="en-US"/>
        </w:rPr>
        <w:t>Onde % TDF corresponde à percentagem do teor de fibra total, R corresponde à média dos pesos dos resíduos, P corresponde à  média dos pesos  da proteína, A corresponde à média dos pesos da cinza e SW corresponde à média dos pesos das amostras.</w:t>
      </w:r>
    </w:p>
    <w:p w14:paraId="4ED25C5C" w14:textId="77777777" w:rsidR="00545429" w:rsidRPr="007F1B6E" w:rsidRDefault="00545429" w:rsidP="007F1B6E">
      <w:pPr>
        <w:pStyle w:val="Cabealho1"/>
        <w:rPr>
          <w:rFonts w:ascii="Times New Roman" w:eastAsiaTheme="minorHAnsi" w:hAnsi="Times New Roman" w:cs="Times New Roman"/>
          <w:color w:val="auto"/>
          <w:lang w:eastAsia="en-US"/>
        </w:rPr>
      </w:pPr>
      <w:bookmarkStart w:id="275" w:name="_Toc479154855"/>
      <w:r w:rsidRPr="004E4759">
        <w:rPr>
          <w:rFonts w:ascii="Times New Roman" w:eastAsiaTheme="minorHAnsi" w:hAnsi="Times New Roman" w:cs="Times New Roman"/>
          <w:color w:val="auto"/>
          <w:lang w:eastAsia="en-US"/>
        </w:rPr>
        <w:lastRenderedPageBreak/>
        <w:t>3.Resultados e discussão</w:t>
      </w:r>
      <w:bookmarkEnd w:id="275"/>
    </w:p>
    <w:p w14:paraId="772E13D4" w14:textId="77777777" w:rsidR="00545429" w:rsidRPr="007F1B6E" w:rsidRDefault="00545429" w:rsidP="007F1B6E">
      <w:pPr>
        <w:pStyle w:val="Cabealho2"/>
        <w:rPr>
          <w:rFonts w:ascii="Times New Roman" w:eastAsiaTheme="minorHAnsi" w:hAnsi="Times New Roman" w:cs="Times New Roman"/>
          <w:color w:val="auto"/>
          <w:lang w:eastAsia="en-US"/>
        </w:rPr>
      </w:pPr>
      <w:bookmarkStart w:id="276" w:name="_Toc479154856"/>
      <w:r w:rsidRPr="004E4759">
        <w:rPr>
          <w:rFonts w:ascii="Times New Roman" w:eastAsiaTheme="minorHAnsi" w:hAnsi="Times New Roman" w:cs="Times New Roman"/>
          <w:color w:val="auto"/>
          <w:lang w:eastAsia="en-US"/>
        </w:rPr>
        <w:t>3.1 Fruto</w:t>
      </w:r>
      <w:bookmarkEnd w:id="276"/>
    </w:p>
    <w:p w14:paraId="3DBBA720" w14:textId="77777777" w:rsidR="00545429" w:rsidRPr="007F1B6E" w:rsidRDefault="00545429" w:rsidP="007F1B6E">
      <w:pPr>
        <w:pStyle w:val="Cabealho3"/>
        <w:rPr>
          <w:rFonts w:ascii="Times New Roman" w:eastAsiaTheme="minorHAnsi" w:hAnsi="Times New Roman" w:cs="Times New Roman"/>
          <w:color w:val="auto"/>
          <w:lang w:eastAsia="en-US"/>
        </w:rPr>
      </w:pPr>
      <w:bookmarkStart w:id="277" w:name="_Toc479154857"/>
      <w:r w:rsidRPr="004E4759">
        <w:rPr>
          <w:rFonts w:ascii="Times New Roman" w:eastAsiaTheme="minorHAnsi" w:hAnsi="Times New Roman" w:cs="Times New Roman"/>
          <w:color w:val="auto"/>
          <w:lang w:eastAsia="en-US"/>
        </w:rPr>
        <w:t>3.1.1 Parâmetros gerais de qualidade</w:t>
      </w:r>
      <w:bookmarkEnd w:id="277"/>
    </w:p>
    <w:p w14:paraId="63073AE2" w14:textId="77777777" w:rsidR="00545429" w:rsidRPr="004E4759" w:rsidRDefault="00545429" w:rsidP="004E4759">
      <w:pPr>
        <w:pStyle w:val="Cabealho4"/>
        <w:rPr>
          <w:rFonts w:ascii="Times New Roman" w:eastAsiaTheme="minorHAnsi" w:hAnsi="Times New Roman" w:cs="Times New Roman"/>
          <w:i w:val="0"/>
          <w:color w:val="auto"/>
          <w:lang w:eastAsia="en-US"/>
        </w:rPr>
      </w:pPr>
      <w:bookmarkStart w:id="278" w:name="_Toc479154858"/>
      <w:r w:rsidRPr="004E4759">
        <w:rPr>
          <w:rFonts w:ascii="Times New Roman" w:eastAsiaTheme="minorHAnsi" w:hAnsi="Times New Roman" w:cs="Times New Roman"/>
          <w:i w:val="0"/>
          <w:color w:val="auto"/>
          <w:lang w:eastAsia="en-US"/>
        </w:rPr>
        <w:t>3.1.1.1 Diâmetro, comprimento e peso</w:t>
      </w:r>
      <w:bookmarkEnd w:id="278"/>
    </w:p>
    <w:p w14:paraId="276ADC26" w14:textId="77777777" w:rsidR="00545429" w:rsidRPr="00545429" w:rsidRDefault="00545429" w:rsidP="00545429">
      <w:pPr>
        <w:spacing w:after="160" w:line="360" w:lineRule="auto"/>
        <w:ind w:left="0" w:right="0" w:firstLine="0"/>
        <w:rPr>
          <w:rFonts w:eastAsiaTheme="minorHAnsi"/>
          <w:color w:val="auto"/>
          <w:szCs w:val="24"/>
          <w:lang w:eastAsia="en-US"/>
        </w:rPr>
      </w:pPr>
    </w:p>
    <w:p w14:paraId="498C74CC" w14:textId="24075B56" w:rsidR="00545429" w:rsidRDefault="00545429" w:rsidP="00545429">
      <w:pPr>
        <w:spacing w:after="160" w:line="360" w:lineRule="auto"/>
        <w:ind w:left="0" w:right="0" w:firstLine="0"/>
        <w:rPr>
          <w:rFonts w:eastAsiaTheme="minorHAnsi"/>
          <w:color w:val="auto"/>
          <w:szCs w:val="24"/>
          <w:lang w:eastAsia="en-US"/>
        </w:rPr>
      </w:pPr>
      <w:r w:rsidRPr="00545429">
        <w:rPr>
          <w:rFonts w:eastAsiaTheme="minorHAnsi"/>
          <w:color w:val="auto"/>
          <w:szCs w:val="24"/>
          <w:lang w:eastAsia="en-US"/>
        </w:rPr>
        <w:t xml:space="preserve">Nas medições dos diâmetros do figo da índia, os frutos que apresentaram um maior diâmetro foram os do ecótipo </w:t>
      </w:r>
      <w:r w:rsidR="00D8792D">
        <w:rPr>
          <w:rFonts w:eastAsiaTheme="minorHAnsi"/>
          <w:color w:val="auto"/>
          <w:szCs w:val="24"/>
          <w:lang w:eastAsia="en-US"/>
        </w:rPr>
        <w:t>‘</w:t>
      </w:r>
      <w:r w:rsidRPr="00545429">
        <w:rPr>
          <w:rFonts w:eastAsiaTheme="minorHAnsi"/>
          <w:color w:val="auto"/>
          <w:szCs w:val="24"/>
          <w:lang w:eastAsia="en-US"/>
        </w:rPr>
        <w:t>laranja</w:t>
      </w:r>
      <w:r w:rsidR="00D8792D">
        <w:rPr>
          <w:rFonts w:eastAsiaTheme="minorHAnsi"/>
          <w:color w:val="auto"/>
          <w:szCs w:val="24"/>
          <w:lang w:eastAsia="en-US"/>
        </w:rPr>
        <w:t>’</w:t>
      </w:r>
      <w:r w:rsidRPr="00545429">
        <w:rPr>
          <w:rFonts w:eastAsiaTheme="minorHAnsi"/>
          <w:color w:val="auto"/>
          <w:szCs w:val="24"/>
          <w:lang w:eastAsia="en-US"/>
        </w:rPr>
        <w:t xml:space="preserve"> (56.14 ±1.43 mm) seguiram-se os frutos da cultivar </w:t>
      </w:r>
      <w:r>
        <w:rPr>
          <w:rFonts w:eastAsiaTheme="minorHAnsi"/>
          <w:color w:val="auto"/>
          <w:szCs w:val="24"/>
          <w:lang w:eastAsia="en-US"/>
        </w:rPr>
        <w:t>‘</w:t>
      </w:r>
      <w:r w:rsidRPr="00545429">
        <w:rPr>
          <w:rFonts w:eastAsiaTheme="minorHAnsi"/>
          <w:color w:val="auto"/>
          <w:szCs w:val="24"/>
          <w:lang w:eastAsia="en-US"/>
        </w:rPr>
        <w:t>Gialla</w:t>
      </w:r>
      <w:r>
        <w:rPr>
          <w:rFonts w:eastAsiaTheme="minorHAnsi"/>
          <w:color w:val="auto"/>
          <w:szCs w:val="24"/>
          <w:lang w:eastAsia="en-US"/>
        </w:rPr>
        <w:t>’</w:t>
      </w:r>
      <w:r w:rsidR="00114D09">
        <w:rPr>
          <w:rFonts w:eastAsiaTheme="minorHAnsi"/>
          <w:color w:val="auto"/>
          <w:szCs w:val="24"/>
          <w:lang w:eastAsia="en-US"/>
        </w:rPr>
        <w:t xml:space="preserve"> (48.44 ± 0.76</w:t>
      </w:r>
      <w:r w:rsidR="00C66473">
        <w:rPr>
          <w:rFonts w:eastAsiaTheme="minorHAnsi"/>
          <w:color w:val="auto"/>
          <w:szCs w:val="24"/>
          <w:lang w:eastAsia="en-US"/>
        </w:rPr>
        <w:t xml:space="preserve"> mm) e da</w:t>
      </w:r>
      <w:r w:rsidRPr="00545429">
        <w:rPr>
          <w:rFonts w:eastAsiaTheme="minorHAnsi"/>
          <w:color w:val="auto"/>
          <w:szCs w:val="24"/>
          <w:lang w:eastAsia="en-US"/>
        </w:rPr>
        <w:t xml:space="preserve"> cultivar</w:t>
      </w:r>
      <w:r>
        <w:rPr>
          <w:rFonts w:eastAsiaTheme="minorHAnsi"/>
          <w:color w:val="auto"/>
          <w:szCs w:val="24"/>
          <w:lang w:eastAsia="en-US"/>
        </w:rPr>
        <w:t xml:space="preserve"> ‘Rosso’</w:t>
      </w:r>
      <w:r w:rsidR="00114D09">
        <w:rPr>
          <w:rFonts w:eastAsiaTheme="minorHAnsi"/>
          <w:color w:val="auto"/>
          <w:szCs w:val="24"/>
          <w:lang w:eastAsia="en-US"/>
        </w:rPr>
        <w:t xml:space="preserve"> (46.47 ± 0.63</w:t>
      </w:r>
      <w:r w:rsidRPr="00545429">
        <w:rPr>
          <w:rFonts w:eastAsiaTheme="minorHAnsi"/>
          <w:color w:val="auto"/>
          <w:szCs w:val="24"/>
          <w:lang w:eastAsia="en-US"/>
        </w:rPr>
        <w:t xml:space="preserve"> mm), estes últimos apresentaram um diâmetro significativamente menor que os frutos ‘laranja’ mas não diferiram significat</w:t>
      </w:r>
      <w:r w:rsidR="00166370">
        <w:rPr>
          <w:rFonts w:eastAsiaTheme="minorHAnsi"/>
          <w:color w:val="auto"/>
          <w:szCs w:val="24"/>
          <w:lang w:eastAsia="en-US"/>
        </w:rPr>
        <w:t>ivamente dos figos ‘Rosso’ (Figura</w:t>
      </w:r>
      <w:r w:rsidRPr="00545429">
        <w:rPr>
          <w:rFonts w:eastAsiaTheme="minorHAnsi"/>
          <w:color w:val="auto"/>
          <w:szCs w:val="24"/>
          <w:lang w:eastAsia="en-US"/>
        </w:rPr>
        <w:t xml:space="preserve"> 9). Por fim, a cultivar verde apresentou f</w:t>
      </w:r>
      <w:r w:rsidR="00114D09">
        <w:rPr>
          <w:rFonts w:eastAsiaTheme="minorHAnsi"/>
          <w:color w:val="auto"/>
          <w:szCs w:val="24"/>
          <w:lang w:eastAsia="en-US"/>
        </w:rPr>
        <w:t>rutos com diâmetro (45.05 ±0.69</w:t>
      </w:r>
      <w:r w:rsidRPr="00545429">
        <w:rPr>
          <w:rFonts w:eastAsiaTheme="minorHAnsi"/>
          <w:color w:val="auto"/>
          <w:szCs w:val="24"/>
          <w:lang w:eastAsia="en-US"/>
        </w:rPr>
        <w:t xml:space="preserve"> mm) significativamente inferior ao de todas as outras cultivares/ecótipos (Fig</w:t>
      </w:r>
      <w:r w:rsidR="00157020">
        <w:rPr>
          <w:rFonts w:eastAsiaTheme="minorHAnsi"/>
          <w:color w:val="auto"/>
          <w:szCs w:val="24"/>
          <w:lang w:eastAsia="en-US"/>
        </w:rPr>
        <w:t>ura</w:t>
      </w:r>
      <w:r w:rsidRPr="00545429">
        <w:rPr>
          <w:rFonts w:eastAsiaTheme="minorHAnsi"/>
          <w:color w:val="auto"/>
          <w:szCs w:val="24"/>
          <w:lang w:eastAsia="en-US"/>
        </w:rPr>
        <w:t xml:space="preserve"> 9). Todos os valores med</w:t>
      </w:r>
      <w:r w:rsidR="00C66473">
        <w:rPr>
          <w:rFonts w:eastAsiaTheme="minorHAnsi"/>
          <w:color w:val="auto"/>
          <w:szCs w:val="24"/>
          <w:lang w:eastAsia="en-US"/>
        </w:rPr>
        <w:t xml:space="preserve">idos nas cultivares </w:t>
      </w:r>
      <w:r w:rsidR="00D8792D">
        <w:rPr>
          <w:rFonts w:eastAsiaTheme="minorHAnsi"/>
          <w:color w:val="auto"/>
          <w:szCs w:val="24"/>
          <w:lang w:eastAsia="en-US"/>
        </w:rPr>
        <w:t>em estudo</w:t>
      </w:r>
      <w:r w:rsidR="00C4111F">
        <w:rPr>
          <w:rFonts w:eastAsiaTheme="minorHAnsi"/>
          <w:color w:val="auto"/>
          <w:szCs w:val="24"/>
          <w:lang w:eastAsia="en-US"/>
        </w:rPr>
        <w:t xml:space="preserve"> </w:t>
      </w:r>
      <w:r w:rsidRPr="00545429">
        <w:rPr>
          <w:rFonts w:eastAsiaTheme="minorHAnsi"/>
          <w:color w:val="auto"/>
          <w:szCs w:val="24"/>
          <w:lang w:eastAsia="en-US"/>
        </w:rPr>
        <w:t>encontram</w:t>
      </w:r>
      <w:r w:rsidR="00C66473">
        <w:rPr>
          <w:rFonts w:eastAsiaTheme="minorHAnsi"/>
          <w:color w:val="auto"/>
          <w:szCs w:val="24"/>
          <w:lang w:eastAsia="en-US"/>
        </w:rPr>
        <w:t>-se</w:t>
      </w:r>
      <w:r w:rsidRPr="00545429">
        <w:rPr>
          <w:rFonts w:eastAsiaTheme="minorHAnsi"/>
          <w:color w:val="auto"/>
          <w:szCs w:val="24"/>
          <w:lang w:eastAsia="en-US"/>
        </w:rPr>
        <w:t xml:space="preserve"> na gama de valores descrita por </w:t>
      </w:r>
      <w:r w:rsidRPr="00545429">
        <w:rPr>
          <w:rFonts w:eastAsiaTheme="minorHAnsi"/>
          <w:color w:val="auto"/>
          <w:szCs w:val="24"/>
          <w:lang w:eastAsia="en-US"/>
        </w:rPr>
        <w:fldChar w:fldCharType="begin" w:fldLock="1"/>
      </w:r>
      <w:r w:rsidR="00BB66BB">
        <w:rPr>
          <w:rFonts w:eastAsiaTheme="minorHAnsi"/>
          <w:color w:val="auto"/>
          <w:szCs w:val="24"/>
          <w:lang w:eastAsia="en-US"/>
        </w:rPr>
        <w:instrText>ADDIN CSL_CITATION { "citationItems" : [ { "id" : "ITEM-1", "itemData" : { "author" : [ { "dropping-particle" : "", "family" : "Duru", "given" : "Berat", "non-dropping-particle" : "", "parse-names" : false, "suffix" : "" }, { "dropping-particle" : "", "family" : "Turker", "given" : "Nuzhet", "non-dropping-particle" : "", "parse-names" : false, "suffix" : "" } ], "container-title" : "Journal of the Professional Association for Cactus Development", "id" : "ITEM-1", "issued" : { "date-parts" : [ [ "2005" ] ] }, "page" : "22-33", "title" : "Changes in Physical Properties and Chemical Composition of Cactus Pear (Opuntia ficus-indica) During Maturation", "type" : "article-journal", "volume" : "7" }, "uris" : [ "http://www.mendeley.com/documents/?uuid=33cb021b-d19b-40a1-9c89-0dd4f440b254" ] } ], "mendeley" : { "formattedCitation" : "(Duru &amp; Turker, 2005)", "manualFormatting" : "Duru &amp; Turker (2005", "plainTextFormattedCitation" : "(Duru &amp; Turker, 2005)", "previouslyFormattedCitation" : "(Duru &amp; Turker, 2005)" }, "properties" : { "noteIndex" : 0 }, "schema" : "https://github.com/citation-style-language/schema/raw/master/csl-citation.json" }</w:instrText>
      </w:r>
      <w:r w:rsidRPr="00545429">
        <w:rPr>
          <w:rFonts w:eastAsiaTheme="minorHAnsi"/>
          <w:color w:val="auto"/>
          <w:szCs w:val="24"/>
          <w:lang w:eastAsia="en-US"/>
        </w:rPr>
        <w:fldChar w:fldCharType="separate"/>
      </w:r>
      <w:r w:rsidRPr="00545429">
        <w:rPr>
          <w:rFonts w:eastAsiaTheme="minorHAnsi"/>
          <w:noProof/>
          <w:color w:val="auto"/>
          <w:szCs w:val="24"/>
          <w:lang w:eastAsia="en-US"/>
        </w:rPr>
        <w:t>Duru &amp; Turker (2005</w:t>
      </w:r>
      <w:r w:rsidRPr="00545429">
        <w:rPr>
          <w:rFonts w:eastAsiaTheme="minorHAnsi"/>
          <w:color w:val="auto"/>
          <w:szCs w:val="24"/>
          <w:lang w:eastAsia="en-US"/>
        </w:rPr>
        <w:fldChar w:fldCharType="end"/>
      </w:r>
      <w:r w:rsidRPr="00545429">
        <w:rPr>
          <w:rFonts w:eastAsiaTheme="minorHAnsi"/>
          <w:color w:val="auto"/>
          <w:szCs w:val="24"/>
          <w:lang w:eastAsia="en-US"/>
        </w:rPr>
        <w:t>) entre</w:t>
      </w:r>
      <w:r w:rsidR="00D8792D">
        <w:rPr>
          <w:rFonts w:eastAsiaTheme="minorHAnsi"/>
          <w:color w:val="auto"/>
          <w:szCs w:val="24"/>
          <w:lang w:eastAsia="en-US"/>
        </w:rPr>
        <w:t xml:space="preserve"> os</w:t>
      </w:r>
      <w:r w:rsidRPr="00545429">
        <w:rPr>
          <w:rFonts w:eastAsiaTheme="minorHAnsi"/>
          <w:color w:val="auto"/>
          <w:szCs w:val="24"/>
          <w:lang w:eastAsia="en-US"/>
        </w:rPr>
        <w:t xml:space="preserve"> 40 e </w:t>
      </w:r>
      <w:r w:rsidR="00D8792D">
        <w:rPr>
          <w:rFonts w:eastAsiaTheme="minorHAnsi"/>
          <w:color w:val="auto"/>
          <w:szCs w:val="24"/>
          <w:lang w:eastAsia="en-US"/>
        </w:rPr>
        <w:t xml:space="preserve">os </w:t>
      </w:r>
      <w:r w:rsidRPr="00545429">
        <w:rPr>
          <w:rFonts w:eastAsiaTheme="minorHAnsi"/>
          <w:color w:val="auto"/>
          <w:szCs w:val="24"/>
          <w:lang w:eastAsia="en-US"/>
        </w:rPr>
        <w:t xml:space="preserve">80 mm de largura. </w:t>
      </w:r>
    </w:p>
    <w:p w14:paraId="2C698B87" w14:textId="77777777" w:rsidR="004E4759" w:rsidRDefault="008474BA" w:rsidP="00676F1F">
      <w:pPr>
        <w:keepNext/>
        <w:spacing w:after="160" w:line="360" w:lineRule="auto"/>
        <w:ind w:left="0" w:right="0" w:firstLine="0"/>
        <w:jc w:val="center"/>
      </w:pPr>
      <w:r>
        <w:rPr>
          <w:noProof/>
        </w:rPr>
        <w:drawing>
          <wp:inline distT="0" distB="0" distL="0" distR="0" wp14:anchorId="7E735CE8" wp14:editId="2AC032BC">
            <wp:extent cx="5181600" cy="2743200"/>
            <wp:effectExtent l="0" t="0" r="0" b="0"/>
            <wp:docPr id="15" name="Gráfico 1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4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81A9694" w14:textId="3E86928E" w:rsidR="0082033A" w:rsidRDefault="004E4759" w:rsidP="00BC4D2E">
      <w:pPr>
        <w:pStyle w:val="Legenda"/>
        <w:ind w:left="0" w:firstLine="0"/>
        <w:rPr>
          <w:rFonts w:eastAsiaTheme="minorHAnsi"/>
          <w:i w:val="0"/>
          <w:iCs w:val="0"/>
          <w:color w:val="auto"/>
          <w:sz w:val="20"/>
          <w:szCs w:val="20"/>
          <w:lang w:eastAsia="en-US"/>
        </w:rPr>
      </w:pPr>
      <w:bookmarkStart w:id="279" w:name="_Toc479333884"/>
      <w:r>
        <w:t xml:space="preserve">Figura </w:t>
      </w:r>
      <w:r w:rsidR="00805B44">
        <w:fldChar w:fldCharType="begin"/>
      </w:r>
      <w:r w:rsidR="00805B44">
        <w:instrText xml:space="preserve"> SEQ Figura \* ARABIC </w:instrText>
      </w:r>
      <w:r w:rsidR="00805B44">
        <w:fldChar w:fldCharType="separate"/>
      </w:r>
      <w:r w:rsidR="005F28B4">
        <w:rPr>
          <w:noProof/>
        </w:rPr>
        <w:t>9</w:t>
      </w:r>
      <w:r w:rsidR="00805B44">
        <w:rPr>
          <w:noProof/>
        </w:rPr>
        <w:fldChar w:fldCharType="end"/>
      </w:r>
      <w:bookmarkStart w:id="280" w:name="_Toc462710015"/>
      <w:r>
        <w:t>-</w:t>
      </w:r>
      <w:r w:rsidR="004F47F5">
        <w:rPr>
          <w:rFonts w:eastAsiaTheme="minorHAnsi"/>
          <w:i w:val="0"/>
          <w:iCs w:val="0"/>
          <w:color w:val="auto"/>
          <w:sz w:val="20"/>
          <w:szCs w:val="20"/>
          <w:lang w:eastAsia="en-US"/>
        </w:rPr>
        <w:t xml:space="preserve"> </w:t>
      </w:r>
      <w:r w:rsidR="0082033A" w:rsidRPr="008E2EF4">
        <w:rPr>
          <w:rFonts w:eastAsiaTheme="minorHAnsi"/>
          <w:i w:val="0"/>
          <w:iCs w:val="0"/>
          <w:color w:val="auto"/>
          <w:sz w:val="20"/>
          <w:szCs w:val="20"/>
          <w:lang w:eastAsia="en-US"/>
        </w:rPr>
        <w:t>Diâmetro dos frutos de quatro diferentes ecótipos/cultivares do figo-da-índia (‘laranja’, ‘verde’, ‘Rosso’ e ‘Gialla’). Os va</w:t>
      </w:r>
      <w:r w:rsidR="00882CE6">
        <w:rPr>
          <w:rFonts w:eastAsiaTheme="minorHAnsi"/>
          <w:i w:val="0"/>
          <w:iCs w:val="0"/>
          <w:color w:val="auto"/>
          <w:sz w:val="20"/>
          <w:szCs w:val="20"/>
          <w:lang w:eastAsia="en-US"/>
        </w:rPr>
        <w:t xml:space="preserve">lores representam uma média de 30 </w:t>
      </w:r>
      <w:r w:rsidR="0082033A" w:rsidRPr="008E2EF4">
        <w:rPr>
          <w:rFonts w:eastAsiaTheme="minorHAnsi"/>
          <w:i w:val="0"/>
          <w:iCs w:val="0"/>
          <w:color w:val="auto"/>
          <w:sz w:val="20"/>
          <w:szCs w:val="20"/>
          <w:lang w:eastAsia="en-US"/>
        </w:rPr>
        <w:t xml:space="preserve">amostras por cultivar. Barras com a mesma </w:t>
      </w:r>
      <w:r w:rsidRPr="008E2EF4">
        <w:rPr>
          <w:rFonts w:eastAsiaTheme="minorHAnsi"/>
          <w:i w:val="0"/>
          <w:iCs w:val="0"/>
          <w:color w:val="auto"/>
          <w:sz w:val="20"/>
          <w:szCs w:val="20"/>
          <w:lang w:eastAsia="en-US"/>
        </w:rPr>
        <w:t>l</w:t>
      </w:r>
      <w:r w:rsidR="0082033A" w:rsidRPr="008E2EF4">
        <w:rPr>
          <w:rFonts w:eastAsiaTheme="minorHAnsi"/>
          <w:i w:val="0"/>
          <w:iCs w:val="0"/>
          <w:color w:val="auto"/>
          <w:sz w:val="20"/>
          <w:szCs w:val="20"/>
          <w:lang w:eastAsia="en-US"/>
        </w:rPr>
        <w:t xml:space="preserve">etra no topo não são significativamente diferentes pelo teste de Duncan (Duncan Multiple Range Test, at </w:t>
      </w:r>
      <w:proofErr w:type="gramStart"/>
      <w:r w:rsidR="0082033A" w:rsidRPr="008E2EF4">
        <w:rPr>
          <w:rFonts w:eastAsiaTheme="minorHAnsi"/>
          <w:i w:val="0"/>
          <w:iCs w:val="0"/>
          <w:color w:val="auto"/>
          <w:sz w:val="20"/>
          <w:szCs w:val="20"/>
          <w:lang w:eastAsia="en-US"/>
        </w:rPr>
        <w:t>P&lt;0.</w:t>
      </w:r>
      <w:proofErr w:type="gramEnd"/>
      <w:r w:rsidR="0082033A" w:rsidRPr="008E2EF4">
        <w:rPr>
          <w:rFonts w:eastAsiaTheme="minorHAnsi"/>
          <w:i w:val="0"/>
          <w:iCs w:val="0"/>
          <w:color w:val="auto"/>
          <w:sz w:val="20"/>
          <w:szCs w:val="20"/>
          <w:lang w:eastAsia="en-US"/>
        </w:rPr>
        <w:t>05).</w:t>
      </w:r>
      <w:bookmarkEnd w:id="279"/>
      <w:bookmarkEnd w:id="280"/>
      <w:r w:rsidR="0082033A" w:rsidRPr="008E2EF4">
        <w:rPr>
          <w:rFonts w:eastAsiaTheme="minorHAnsi"/>
          <w:i w:val="0"/>
          <w:iCs w:val="0"/>
          <w:color w:val="auto"/>
          <w:sz w:val="20"/>
          <w:szCs w:val="20"/>
          <w:lang w:eastAsia="en-US"/>
        </w:rPr>
        <w:t xml:space="preserve"> </w:t>
      </w:r>
    </w:p>
    <w:p w14:paraId="5F0F921E" w14:textId="77777777" w:rsidR="007F1B6E" w:rsidRPr="007F1B6E" w:rsidRDefault="007F1B6E" w:rsidP="007F1B6E">
      <w:pPr>
        <w:rPr>
          <w:rFonts w:eastAsiaTheme="minorHAnsi"/>
          <w:lang w:eastAsia="en-US"/>
        </w:rPr>
      </w:pPr>
    </w:p>
    <w:p w14:paraId="73656761" w14:textId="1C9E64F7" w:rsidR="0082033A" w:rsidRPr="0082033A" w:rsidRDefault="00F40005" w:rsidP="0082033A">
      <w:pPr>
        <w:spacing w:after="160" w:line="360" w:lineRule="auto"/>
        <w:ind w:left="0" w:right="0" w:firstLine="0"/>
        <w:rPr>
          <w:rFonts w:eastAsiaTheme="minorHAnsi"/>
          <w:color w:val="auto"/>
          <w:lang w:eastAsia="en-US"/>
        </w:rPr>
      </w:pPr>
      <w:r>
        <w:rPr>
          <w:rFonts w:eastAsiaTheme="minorHAnsi"/>
          <w:color w:val="auto"/>
          <w:lang w:eastAsia="en-US"/>
        </w:rPr>
        <w:t>O</w:t>
      </w:r>
      <w:r w:rsidR="0082033A" w:rsidRPr="0082033A">
        <w:rPr>
          <w:rFonts w:eastAsiaTheme="minorHAnsi"/>
          <w:color w:val="auto"/>
          <w:lang w:eastAsia="en-US"/>
        </w:rPr>
        <w:t xml:space="preserve"> comprimento do</w:t>
      </w:r>
      <w:r>
        <w:rPr>
          <w:rFonts w:eastAsiaTheme="minorHAnsi"/>
          <w:color w:val="auto"/>
          <w:lang w:eastAsia="en-US"/>
        </w:rPr>
        <w:t>s</w:t>
      </w:r>
      <w:r w:rsidR="0082033A" w:rsidRPr="0082033A">
        <w:rPr>
          <w:rFonts w:eastAsiaTheme="minorHAnsi"/>
          <w:color w:val="auto"/>
          <w:lang w:eastAsia="en-US"/>
        </w:rPr>
        <w:t xml:space="preserve"> fruto</w:t>
      </w:r>
      <w:r>
        <w:rPr>
          <w:rFonts w:eastAsiaTheme="minorHAnsi"/>
          <w:color w:val="auto"/>
          <w:lang w:eastAsia="en-US"/>
        </w:rPr>
        <w:t>s</w:t>
      </w:r>
      <w:r w:rsidR="0082033A" w:rsidRPr="0082033A">
        <w:rPr>
          <w:rFonts w:eastAsiaTheme="minorHAnsi"/>
          <w:color w:val="auto"/>
          <w:lang w:eastAsia="en-US"/>
        </w:rPr>
        <w:t xml:space="preserve"> foi</w:t>
      </w:r>
      <w:r>
        <w:rPr>
          <w:rFonts w:eastAsiaTheme="minorHAnsi"/>
          <w:color w:val="auto"/>
          <w:lang w:eastAsia="en-US"/>
        </w:rPr>
        <w:t xml:space="preserve"> maior n</w:t>
      </w:r>
      <w:r w:rsidR="0082033A" w:rsidRPr="0082033A">
        <w:rPr>
          <w:rFonts w:eastAsiaTheme="minorHAnsi"/>
          <w:color w:val="auto"/>
          <w:lang w:eastAsia="en-US"/>
        </w:rPr>
        <w:t>o ecótipo ‘verde’ (83.28 ± 2.26 mm)</w:t>
      </w:r>
      <w:r>
        <w:rPr>
          <w:rFonts w:eastAsiaTheme="minorHAnsi"/>
          <w:color w:val="auto"/>
          <w:lang w:eastAsia="en-US"/>
        </w:rPr>
        <w:t xml:space="preserve"> e menor </w:t>
      </w:r>
      <w:proofErr w:type="gramStart"/>
      <w:r>
        <w:rPr>
          <w:rFonts w:eastAsiaTheme="minorHAnsi"/>
          <w:color w:val="auto"/>
          <w:lang w:eastAsia="en-US"/>
        </w:rPr>
        <w:t>na</w:t>
      </w:r>
      <w:proofErr w:type="gramEnd"/>
      <w:r>
        <w:rPr>
          <w:rFonts w:eastAsiaTheme="minorHAnsi"/>
          <w:color w:val="auto"/>
          <w:lang w:eastAsia="en-US"/>
        </w:rPr>
        <w:t xml:space="preserve"> cultivar ‘Rosso’</w:t>
      </w:r>
      <w:r w:rsidR="00D4302C">
        <w:rPr>
          <w:rFonts w:eastAsiaTheme="minorHAnsi"/>
          <w:color w:val="auto"/>
          <w:lang w:eastAsia="en-US"/>
        </w:rPr>
        <w:t xml:space="preserve"> </w:t>
      </w:r>
      <w:r w:rsidRPr="0082033A">
        <w:rPr>
          <w:rFonts w:eastAsiaTheme="minorHAnsi"/>
          <w:color w:val="auto"/>
          <w:lang w:eastAsia="en-US"/>
        </w:rPr>
        <w:t>(67.06 ± 1.23 mm)</w:t>
      </w:r>
      <w:r w:rsidR="00157020">
        <w:rPr>
          <w:rFonts w:eastAsiaTheme="minorHAnsi"/>
          <w:color w:val="auto"/>
          <w:lang w:eastAsia="en-US"/>
        </w:rPr>
        <w:t xml:space="preserve"> (Figura 10)</w:t>
      </w:r>
      <w:r>
        <w:rPr>
          <w:rFonts w:eastAsiaTheme="minorHAnsi"/>
          <w:color w:val="auto"/>
          <w:lang w:eastAsia="en-US"/>
        </w:rPr>
        <w:t>. O</w:t>
      </w:r>
      <w:r w:rsidR="0082033A" w:rsidRPr="0082033A">
        <w:rPr>
          <w:rFonts w:eastAsiaTheme="minorHAnsi"/>
          <w:color w:val="auto"/>
          <w:lang w:eastAsia="en-US"/>
        </w:rPr>
        <w:t xml:space="preserve">s frutos ‘laranja’ (79.17 ± 1.58 mm) e </w:t>
      </w:r>
      <w:r>
        <w:rPr>
          <w:rFonts w:eastAsiaTheme="minorHAnsi"/>
          <w:color w:val="auto"/>
          <w:lang w:eastAsia="en-US"/>
        </w:rPr>
        <w:lastRenderedPageBreak/>
        <w:t xml:space="preserve">a cultivar ‘Gialla’ </w:t>
      </w:r>
      <w:r w:rsidRPr="0082033A">
        <w:rPr>
          <w:rFonts w:eastAsiaTheme="minorHAnsi"/>
          <w:color w:val="auto"/>
          <w:lang w:eastAsia="en-US"/>
        </w:rPr>
        <w:t>(74.87 ± 1.56 mm)</w:t>
      </w:r>
      <w:r>
        <w:rPr>
          <w:rFonts w:eastAsiaTheme="minorHAnsi"/>
          <w:color w:val="auto"/>
          <w:lang w:eastAsia="en-US"/>
        </w:rPr>
        <w:t xml:space="preserve"> tiveram valores intermédios de comprimento dos frutos.</w:t>
      </w:r>
      <w:r w:rsidR="0082033A" w:rsidRPr="0082033A">
        <w:rPr>
          <w:rFonts w:eastAsiaTheme="minorHAnsi"/>
          <w:color w:val="auto"/>
          <w:lang w:eastAsia="en-US"/>
        </w:rPr>
        <w:t xml:space="preserve"> </w:t>
      </w:r>
      <w:r>
        <w:rPr>
          <w:rFonts w:eastAsiaTheme="minorHAnsi"/>
          <w:color w:val="auto"/>
          <w:lang w:eastAsia="en-US"/>
        </w:rPr>
        <w:t>Todos e</w:t>
      </w:r>
      <w:r w:rsidR="0082033A" w:rsidRPr="0082033A">
        <w:rPr>
          <w:rFonts w:eastAsiaTheme="minorHAnsi"/>
          <w:color w:val="auto"/>
          <w:lang w:eastAsia="en-US"/>
        </w:rPr>
        <w:t xml:space="preserve">stes valores </w:t>
      </w:r>
      <w:r>
        <w:rPr>
          <w:rFonts w:eastAsiaTheme="minorHAnsi"/>
          <w:color w:val="auto"/>
          <w:lang w:eastAsia="en-US"/>
        </w:rPr>
        <w:t xml:space="preserve">se </w:t>
      </w:r>
      <w:r w:rsidR="0082033A" w:rsidRPr="0082033A">
        <w:rPr>
          <w:rFonts w:eastAsiaTheme="minorHAnsi"/>
          <w:color w:val="auto"/>
          <w:lang w:eastAsia="en-US"/>
        </w:rPr>
        <w:t xml:space="preserve">encontram </w:t>
      </w:r>
      <w:r>
        <w:rPr>
          <w:rFonts w:eastAsiaTheme="minorHAnsi"/>
          <w:color w:val="auto"/>
          <w:lang w:eastAsia="en-US"/>
        </w:rPr>
        <w:t>entre os</w:t>
      </w:r>
      <w:r w:rsidR="0082033A" w:rsidRPr="0082033A">
        <w:rPr>
          <w:rFonts w:eastAsiaTheme="minorHAnsi"/>
          <w:color w:val="auto"/>
          <w:lang w:eastAsia="en-US"/>
        </w:rPr>
        <w:t xml:space="preserve"> 50 a 100 mm descrit</w:t>
      </w:r>
      <w:r>
        <w:rPr>
          <w:rFonts w:eastAsiaTheme="minorHAnsi"/>
          <w:color w:val="auto"/>
          <w:lang w:eastAsia="en-US"/>
        </w:rPr>
        <w:t>os</w:t>
      </w:r>
      <w:r w:rsidR="0082033A" w:rsidRPr="0082033A">
        <w:rPr>
          <w:rFonts w:eastAsiaTheme="minorHAnsi"/>
          <w:color w:val="auto"/>
          <w:lang w:eastAsia="en-US"/>
        </w:rPr>
        <w:t xml:space="preserve"> por </w:t>
      </w:r>
      <w:r w:rsidR="0082033A" w:rsidRPr="0082033A">
        <w:rPr>
          <w:rFonts w:eastAsiaTheme="minorHAnsi"/>
          <w:color w:val="auto"/>
          <w:lang w:eastAsia="en-US"/>
        </w:rPr>
        <w:fldChar w:fldCharType="begin" w:fldLock="1"/>
      </w:r>
      <w:r w:rsidR="00BB66BB">
        <w:rPr>
          <w:rFonts w:eastAsiaTheme="minorHAnsi"/>
          <w:color w:val="auto"/>
          <w:lang w:eastAsia="en-US"/>
        </w:rPr>
        <w:instrText>ADDIN CSL_CITATION { "citationItems" : [ { "id" : "ITEM-1", "itemData" : { "author" : [ { "dropping-particle" : "", "family" : "Duru", "given" : "Berat", "non-dropping-particle" : "", "parse-names" : false, "suffix" : "" }, { "dropping-particle" : "", "family" : "Turker", "given" : "Nuzhet", "non-dropping-particle" : "", "parse-names" : false, "suffix" : "" } ], "container-title" : "Journal of the Professional Association for Cactus Development", "id" : "ITEM-1", "issued" : { "date-parts" : [ [ "2005" ] ] }, "page" : "22-33", "title" : "Changes in Physical Properties and Chemical Composition of Cactus Pear (Opuntia ficus-indica) During Maturation", "type" : "article-journal", "volume" : "7" }, "uris" : [ "http://www.mendeley.com/documents/?uuid=33cb021b-d19b-40a1-9c89-0dd4f440b254" ] } ], "mendeley" : { "formattedCitation" : "(Duru &amp; Turker, 2005)", "manualFormatting" : "Duru &amp; Turker (2005", "plainTextFormattedCitation" : "(Duru &amp; Turker, 2005)", "previouslyFormattedCitation" : "(Duru &amp; Turker, 2005)" }, "properties" : { "noteIndex" : 0 }, "schema" : "https://github.com/citation-style-language/schema/raw/master/csl-citation.json" }</w:instrText>
      </w:r>
      <w:r w:rsidR="0082033A" w:rsidRPr="0082033A">
        <w:rPr>
          <w:rFonts w:eastAsiaTheme="minorHAnsi"/>
          <w:color w:val="auto"/>
          <w:lang w:eastAsia="en-US"/>
        </w:rPr>
        <w:fldChar w:fldCharType="separate"/>
      </w:r>
      <w:r w:rsidR="0082033A" w:rsidRPr="0082033A">
        <w:rPr>
          <w:rFonts w:eastAsiaTheme="minorHAnsi"/>
          <w:noProof/>
          <w:color w:val="auto"/>
          <w:lang w:eastAsia="en-US"/>
        </w:rPr>
        <w:t>Duru &amp; Turker (2005</w:t>
      </w:r>
      <w:r w:rsidR="0082033A" w:rsidRPr="0082033A">
        <w:rPr>
          <w:rFonts w:eastAsiaTheme="minorHAnsi"/>
          <w:color w:val="auto"/>
          <w:lang w:eastAsia="en-US"/>
        </w:rPr>
        <w:fldChar w:fldCharType="end"/>
      </w:r>
      <w:r w:rsidR="0082033A" w:rsidRPr="0082033A">
        <w:rPr>
          <w:rFonts w:eastAsiaTheme="minorHAnsi"/>
          <w:color w:val="auto"/>
          <w:lang w:eastAsia="en-US"/>
        </w:rPr>
        <w:t xml:space="preserve">). </w:t>
      </w:r>
    </w:p>
    <w:p w14:paraId="143BF651" w14:textId="77777777" w:rsidR="004E4759" w:rsidRDefault="008474BA" w:rsidP="00676F1F">
      <w:pPr>
        <w:keepNext/>
        <w:spacing w:after="200" w:line="240" w:lineRule="auto"/>
        <w:jc w:val="center"/>
      </w:pPr>
      <w:r>
        <w:rPr>
          <w:noProof/>
        </w:rPr>
        <w:drawing>
          <wp:inline distT="0" distB="0" distL="0" distR="0" wp14:anchorId="2A6712EA" wp14:editId="4F4D72D3">
            <wp:extent cx="5181600" cy="2743200"/>
            <wp:effectExtent l="0" t="0" r="0" b="0"/>
            <wp:docPr id="16" name="Gráfico 1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4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B65417D" w14:textId="6209FC06" w:rsidR="0082033A" w:rsidRPr="0082033A" w:rsidRDefault="004E4759" w:rsidP="00676F1F">
      <w:pPr>
        <w:pStyle w:val="Legenda"/>
        <w:tabs>
          <w:tab w:val="left" w:pos="7513"/>
        </w:tabs>
        <w:ind w:right="-1"/>
        <w:rPr>
          <w:rFonts w:eastAsiaTheme="minorHAnsi"/>
          <w:i w:val="0"/>
          <w:iCs w:val="0"/>
          <w:color w:val="auto"/>
          <w:sz w:val="20"/>
          <w:szCs w:val="20"/>
          <w:lang w:eastAsia="en-US"/>
        </w:rPr>
      </w:pPr>
      <w:bookmarkStart w:id="281" w:name="_Toc479333885"/>
      <w:r>
        <w:t xml:space="preserve">Figura </w:t>
      </w:r>
      <w:r w:rsidR="00805B44">
        <w:fldChar w:fldCharType="begin"/>
      </w:r>
      <w:r w:rsidR="00805B44">
        <w:instrText xml:space="preserve"> SEQ Figura \* ARABIC </w:instrText>
      </w:r>
      <w:r w:rsidR="00805B44">
        <w:fldChar w:fldCharType="separate"/>
      </w:r>
      <w:r w:rsidR="005F28B4">
        <w:rPr>
          <w:noProof/>
        </w:rPr>
        <w:t>10</w:t>
      </w:r>
      <w:r w:rsidR="00805B44">
        <w:rPr>
          <w:noProof/>
        </w:rPr>
        <w:fldChar w:fldCharType="end"/>
      </w:r>
      <w:bookmarkStart w:id="282" w:name="_Toc462710016"/>
      <w:r w:rsidR="0082033A" w:rsidRPr="0082033A">
        <w:rPr>
          <w:rFonts w:eastAsiaTheme="minorHAnsi"/>
          <w:i w:val="0"/>
          <w:iCs w:val="0"/>
          <w:color w:val="auto"/>
          <w:sz w:val="22"/>
          <w:lang w:eastAsia="en-US"/>
        </w:rPr>
        <w:t xml:space="preserve"> </w:t>
      </w:r>
      <w:r w:rsidR="0082033A" w:rsidRPr="0082033A">
        <w:rPr>
          <w:rFonts w:eastAsiaTheme="minorHAnsi"/>
          <w:i w:val="0"/>
          <w:iCs w:val="0"/>
          <w:color w:val="auto"/>
          <w:lang w:eastAsia="en-US"/>
        </w:rPr>
        <w:t xml:space="preserve">– </w:t>
      </w:r>
      <w:r w:rsidR="0082033A" w:rsidRPr="008E2EF4">
        <w:rPr>
          <w:rFonts w:eastAsiaTheme="minorHAnsi"/>
          <w:i w:val="0"/>
          <w:iCs w:val="0"/>
          <w:color w:val="auto"/>
          <w:sz w:val="20"/>
          <w:lang w:eastAsia="en-US"/>
        </w:rPr>
        <w:t>Comprimento dos frutos de quatro diferentes ecótipos/cultivares do figo-da-índia (‘laranja’, ‘verde’, ‘Rosso’ e ‘Gialla’). Os valores re</w:t>
      </w:r>
      <w:r w:rsidR="00882CE6">
        <w:rPr>
          <w:rFonts w:eastAsiaTheme="minorHAnsi"/>
          <w:i w:val="0"/>
          <w:iCs w:val="0"/>
          <w:color w:val="auto"/>
          <w:sz w:val="20"/>
          <w:lang w:eastAsia="en-US"/>
        </w:rPr>
        <w:t>presentam uma média de 30</w:t>
      </w:r>
      <w:r w:rsidR="0082033A" w:rsidRPr="008E2EF4">
        <w:rPr>
          <w:rFonts w:eastAsiaTheme="minorHAnsi"/>
          <w:i w:val="0"/>
          <w:iCs w:val="0"/>
          <w:color w:val="auto"/>
          <w:sz w:val="20"/>
          <w:lang w:eastAsia="en-US"/>
        </w:rPr>
        <w:t xml:space="preserve"> amostras por cultivar. Barras com a mesma letra no topo não são significativamente diferentes pelo teste de Duncan (Duncan Multiple Range Test, at </w:t>
      </w:r>
      <w:proofErr w:type="gramStart"/>
      <w:r w:rsidR="0082033A" w:rsidRPr="008E2EF4">
        <w:rPr>
          <w:rFonts w:eastAsiaTheme="minorHAnsi"/>
          <w:iCs w:val="0"/>
          <w:color w:val="auto"/>
          <w:sz w:val="20"/>
          <w:lang w:eastAsia="en-US"/>
        </w:rPr>
        <w:t>P&lt;0.</w:t>
      </w:r>
      <w:proofErr w:type="gramEnd"/>
      <w:r w:rsidR="0082033A" w:rsidRPr="008E2EF4">
        <w:rPr>
          <w:rFonts w:eastAsiaTheme="minorHAnsi"/>
          <w:iCs w:val="0"/>
          <w:color w:val="auto"/>
          <w:sz w:val="20"/>
          <w:lang w:eastAsia="en-US"/>
        </w:rPr>
        <w:t>05</w:t>
      </w:r>
      <w:r w:rsidR="0082033A" w:rsidRPr="008E2EF4">
        <w:rPr>
          <w:rFonts w:eastAsiaTheme="minorHAnsi"/>
          <w:i w:val="0"/>
          <w:iCs w:val="0"/>
          <w:color w:val="auto"/>
          <w:sz w:val="20"/>
          <w:lang w:eastAsia="en-US"/>
        </w:rPr>
        <w:t>).</w:t>
      </w:r>
      <w:bookmarkEnd w:id="281"/>
      <w:bookmarkEnd w:id="282"/>
      <w:r w:rsidR="0082033A" w:rsidRPr="008E2EF4">
        <w:rPr>
          <w:rFonts w:eastAsiaTheme="minorHAnsi"/>
          <w:i w:val="0"/>
          <w:iCs w:val="0"/>
          <w:color w:val="auto"/>
          <w:sz w:val="22"/>
          <w:szCs w:val="20"/>
          <w:lang w:eastAsia="en-US"/>
        </w:rPr>
        <w:t xml:space="preserve"> </w:t>
      </w:r>
    </w:p>
    <w:p w14:paraId="568E3DDD" w14:textId="77777777" w:rsidR="0082033A" w:rsidRDefault="0082033A" w:rsidP="0082033A">
      <w:pPr>
        <w:spacing w:after="200" w:line="240" w:lineRule="auto"/>
        <w:rPr>
          <w:rFonts w:eastAsiaTheme="minorHAnsi"/>
          <w:iCs/>
          <w:color w:val="auto"/>
          <w:sz w:val="20"/>
          <w:szCs w:val="20"/>
          <w:lang w:eastAsia="en-US"/>
        </w:rPr>
      </w:pPr>
    </w:p>
    <w:p w14:paraId="29E81EE1" w14:textId="57E4AB6B" w:rsidR="0082033A" w:rsidRDefault="0082033A" w:rsidP="0082033A">
      <w:pPr>
        <w:spacing w:after="160" w:line="360" w:lineRule="auto"/>
        <w:ind w:left="0" w:right="0" w:firstLine="0"/>
        <w:rPr>
          <w:rFonts w:eastAsiaTheme="minorHAnsi"/>
          <w:color w:val="auto"/>
          <w:lang w:eastAsia="en-US"/>
        </w:rPr>
      </w:pPr>
      <w:r w:rsidRPr="0082033A">
        <w:rPr>
          <w:rFonts w:eastAsiaTheme="minorHAnsi"/>
          <w:color w:val="auto"/>
          <w:lang w:eastAsia="en-US"/>
        </w:rPr>
        <w:t>Expostos os valores do peso do fruto de cada cultivar verificou-se que os frutos mais pesados são do ecótipo’ ‘laranja’ (136,72 ± 7.05 g), seguiram-se os da cultivar ‘Gialla’ (97.10 ± 3.05 g), e os frutos mais leves foram os do ecótipo ‘verde’ (84.73 ± 2.21 g) e</w:t>
      </w:r>
      <w:r w:rsidR="00EC6D4F">
        <w:rPr>
          <w:rFonts w:eastAsiaTheme="minorHAnsi"/>
          <w:color w:val="auto"/>
          <w:lang w:eastAsia="en-US"/>
        </w:rPr>
        <w:t xml:space="preserve"> os</w:t>
      </w:r>
      <w:r w:rsidRPr="0082033A">
        <w:rPr>
          <w:rFonts w:eastAsiaTheme="minorHAnsi"/>
          <w:color w:val="auto"/>
          <w:lang w:eastAsia="en-US"/>
        </w:rPr>
        <w:t xml:space="preserve"> </w:t>
      </w:r>
      <w:proofErr w:type="gramStart"/>
      <w:r w:rsidRPr="0082033A">
        <w:rPr>
          <w:rFonts w:eastAsiaTheme="minorHAnsi"/>
          <w:color w:val="auto"/>
          <w:lang w:eastAsia="en-US"/>
        </w:rPr>
        <w:t>da</w:t>
      </w:r>
      <w:proofErr w:type="gramEnd"/>
      <w:r w:rsidRPr="0082033A">
        <w:rPr>
          <w:rFonts w:eastAsiaTheme="minorHAnsi"/>
          <w:color w:val="auto"/>
          <w:lang w:eastAsia="en-US"/>
        </w:rPr>
        <w:t xml:space="preserve"> cultivar </w:t>
      </w:r>
      <w:r>
        <w:rPr>
          <w:rFonts w:eastAsiaTheme="minorHAnsi"/>
          <w:color w:val="auto"/>
          <w:lang w:eastAsia="en-US"/>
        </w:rPr>
        <w:t>‘</w:t>
      </w:r>
      <w:r w:rsidRPr="0082033A">
        <w:rPr>
          <w:rFonts w:eastAsiaTheme="minorHAnsi"/>
          <w:color w:val="auto"/>
          <w:lang w:eastAsia="en-US"/>
        </w:rPr>
        <w:t>Rosso</w:t>
      </w:r>
      <w:r>
        <w:rPr>
          <w:rFonts w:eastAsiaTheme="minorHAnsi"/>
          <w:color w:val="auto"/>
          <w:lang w:eastAsia="en-US"/>
        </w:rPr>
        <w:t>’</w:t>
      </w:r>
      <w:r w:rsidRPr="0082033A">
        <w:rPr>
          <w:rFonts w:eastAsiaTheme="minorHAnsi"/>
          <w:color w:val="auto"/>
          <w:lang w:eastAsia="en-US"/>
        </w:rPr>
        <w:t xml:space="preserve"> (82.09 ± 3.10 g) cujos pesos dos frutos não dife</w:t>
      </w:r>
      <w:r w:rsidR="00157020">
        <w:rPr>
          <w:rFonts w:eastAsiaTheme="minorHAnsi"/>
          <w:color w:val="auto"/>
          <w:lang w:eastAsia="en-US"/>
        </w:rPr>
        <w:t>rem significativamente entre si (Figura 11).</w:t>
      </w:r>
      <w:r w:rsidRPr="0082033A">
        <w:rPr>
          <w:rFonts w:eastAsiaTheme="minorHAnsi"/>
          <w:color w:val="auto"/>
          <w:lang w:eastAsia="en-US"/>
        </w:rPr>
        <w:t xml:space="preserve"> Os valores estão de acordo com os valores descritos por </w:t>
      </w:r>
      <w:r w:rsidRPr="0082033A">
        <w:rPr>
          <w:rFonts w:eastAsiaTheme="minorHAnsi"/>
          <w:color w:val="auto"/>
          <w:lang w:eastAsia="en-US"/>
        </w:rPr>
        <w:fldChar w:fldCharType="begin" w:fldLock="1"/>
      </w:r>
      <w:r w:rsidR="004C0F6E">
        <w:rPr>
          <w:rFonts w:eastAsiaTheme="minorHAnsi"/>
          <w:color w:val="auto"/>
          <w:lang w:eastAsia="en-US"/>
        </w:rPr>
        <w:instrText>ADDIN CSL_CITATION { "citationItems" : [ { "id" : "ITEM-1", "itemData" : { "ISSN" : "19386648", "abstract" : "The constantly increasing demand for nutraceuticals is paralleled by a more pronounced request for natural ingredients and health-promoting foods. The multiple functional properties of cactus pear fit well this trend. Recent data revealed the high content of some chemical constituents, which can give added value to this fruit on a nutritional and technological functionality basis. High levels of betalains, taurine, calcium, magnesium, and antioxidants are noteworthy.", "author" : [ { "dropping-particle" : "", "family" : "Piga", "given" : "Antonio", "non-dropping-particle" : "", "parse-names" : false, "suffix" : "" } ], "container-title" : "Journal of the Professional Association for Cactus Development", "id" : "ITEM-1", "issue" : "February", "issued" : { "date-parts" : [ [ "2004" ] ] }, "page" : "9-22", "title" : "Cactus Pear : A Fruit of Nutraceutical and Functional Importance", "type" : "article-journal", "volume" : "6" }, "uris" : [ "http://www.mendeley.com/documents/?uuid=7643e2db-70f7-4a68-af95-432b5b630a29" ] } ], "mendeley" : { "formattedCitation" : "(Piga, 2004)", "manualFormatting" : "Piga (2004", "plainTextFormattedCitation" : "(Piga, 2004)", "previouslyFormattedCitation" : "(Piga, 2004)" }, "properties" : { "noteIndex" : 0 }, "schema" : "https://github.com/citation-style-language/schema/raw/master/csl-citation.json" }</w:instrText>
      </w:r>
      <w:r w:rsidRPr="0082033A">
        <w:rPr>
          <w:rFonts w:eastAsiaTheme="minorHAnsi"/>
          <w:color w:val="auto"/>
          <w:lang w:eastAsia="en-US"/>
        </w:rPr>
        <w:fldChar w:fldCharType="separate"/>
      </w:r>
      <w:r w:rsidRPr="0082033A">
        <w:rPr>
          <w:rFonts w:eastAsiaTheme="minorHAnsi"/>
          <w:noProof/>
          <w:color w:val="auto"/>
          <w:lang w:eastAsia="en-US"/>
        </w:rPr>
        <w:t>Piga (2004</w:t>
      </w:r>
      <w:r w:rsidRPr="0082033A">
        <w:rPr>
          <w:rFonts w:eastAsiaTheme="minorHAnsi"/>
          <w:color w:val="auto"/>
          <w:lang w:eastAsia="en-US"/>
        </w:rPr>
        <w:fldChar w:fldCharType="end"/>
      </w:r>
      <w:r w:rsidRPr="0082033A">
        <w:rPr>
          <w:rFonts w:eastAsiaTheme="minorHAnsi"/>
          <w:color w:val="auto"/>
          <w:lang w:eastAsia="en-US"/>
        </w:rPr>
        <w:t>) mas os ecótipos ‘laranja’ e ‘verde’ t</w:t>
      </w:r>
      <w:r w:rsidR="0050079E">
        <w:rPr>
          <w:rFonts w:eastAsiaTheme="minorHAnsi"/>
          <w:color w:val="auto"/>
          <w:lang w:eastAsia="en-US"/>
        </w:rPr>
        <w:t>iveram</w:t>
      </w:r>
      <w:r w:rsidRPr="0082033A">
        <w:rPr>
          <w:rFonts w:eastAsiaTheme="minorHAnsi"/>
          <w:color w:val="auto"/>
          <w:lang w:eastAsia="en-US"/>
        </w:rPr>
        <w:t xml:space="preserve"> pesos ligeiramente superiores aos referidos por </w:t>
      </w:r>
      <w:r w:rsidRPr="0082033A">
        <w:rPr>
          <w:rFonts w:eastAsiaTheme="minorHAnsi"/>
          <w:color w:val="auto"/>
          <w:lang w:eastAsia="en-US"/>
        </w:rPr>
        <w:fldChar w:fldCharType="begin" w:fldLock="1"/>
      </w:r>
      <w:r w:rsidR="008F538C">
        <w:rPr>
          <w:rFonts w:eastAsiaTheme="minorHAnsi"/>
          <w:color w:val="auto"/>
          <w:lang w:eastAsia="en-US"/>
        </w:rPr>
        <w:instrText>ADDIN CSL_CITATION { "citationItems" : [ { "id" : "ITEM-1",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"ITEM-1", "issued" : { "date-parts" : [ [ "2007" ] ] }, "page" : "38-45", "title" : "Chemical characterization of Opuntia dillenii and Opuntia ficus indica fruits", "type" : "article-journal", "volume" : "103" }, "uris" : [ "http://www.mendeley.com/documents/?uuid=76f175b1-c4eb-4f47-859a-ba2cc4bf2692" ] } ], "mendeley" : { "formattedCitation" : "(Medina et al., 2007)", "manualFormatting" : "Medina et al., (2007", "plainTextFormattedCitation" : "(Medina et al., 2007)", "previouslyFormattedCitation" : "(Medina et al., 2007)" }, "properties" : { "noteIndex" : 0 }, "schema" : "https://github.com/citation-style-language/schema/raw/master/csl-citation.json" }</w:instrText>
      </w:r>
      <w:r w:rsidRPr="0082033A">
        <w:rPr>
          <w:rFonts w:eastAsiaTheme="minorHAnsi"/>
          <w:color w:val="auto"/>
          <w:lang w:eastAsia="en-US"/>
        </w:rPr>
        <w:fldChar w:fldCharType="separate"/>
      </w:r>
      <w:r w:rsidR="00501561">
        <w:rPr>
          <w:rFonts w:eastAsiaTheme="minorHAnsi"/>
          <w:noProof/>
          <w:color w:val="auto"/>
          <w:lang w:eastAsia="en-US"/>
        </w:rPr>
        <w:t>Medina et al.,</w:t>
      </w:r>
      <w:r w:rsidRPr="0082033A">
        <w:rPr>
          <w:rFonts w:eastAsiaTheme="minorHAnsi"/>
          <w:noProof/>
          <w:color w:val="auto"/>
          <w:lang w:eastAsia="en-US"/>
        </w:rPr>
        <w:t xml:space="preserve"> (2007</w:t>
      </w:r>
      <w:r w:rsidRPr="0082033A">
        <w:rPr>
          <w:rFonts w:eastAsiaTheme="minorHAnsi"/>
          <w:color w:val="auto"/>
          <w:lang w:eastAsia="en-US"/>
        </w:rPr>
        <w:fldChar w:fldCharType="end"/>
      </w:r>
      <w:r w:rsidRPr="0082033A">
        <w:rPr>
          <w:rFonts w:eastAsiaTheme="minorHAnsi"/>
          <w:color w:val="auto"/>
          <w:lang w:eastAsia="en-US"/>
        </w:rPr>
        <w:t>).</w:t>
      </w:r>
    </w:p>
    <w:p w14:paraId="48F55E2D" w14:textId="77777777" w:rsidR="004E4759" w:rsidRDefault="008474BA" w:rsidP="00676F1F">
      <w:pPr>
        <w:keepNext/>
        <w:spacing w:after="160" w:line="360" w:lineRule="auto"/>
        <w:ind w:left="0" w:right="0" w:firstLine="0"/>
        <w:jc w:val="center"/>
      </w:pPr>
      <w:r w:rsidRPr="008474BA">
        <w:rPr>
          <w:b/>
          <w:noProof/>
        </w:rPr>
        <w:lastRenderedPageBreak/>
        <w:drawing>
          <wp:inline distT="0" distB="0" distL="0" distR="0" wp14:anchorId="693ADDFE" wp14:editId="12635535">
            <wp:extent cx="5181600" cy="2743200"/>
            <wp:effectExtent l="0" t="0" r="0" b="0"/>
            <wp:docPr id="17" name="Gráfico 1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4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82AC648" w14:textId="7E95A3DA" w:rsidR="0082033A" w:rsidRPr="006C2067" w:rsidRDefault="004E4759" w:rsidP="00676F1F">
      <w:pPr>
        <w:pStyle w:val="Legenda"/>
        <w:ind w:right="-1"/>
        <w:rPr>
          <w:rFonts w:eastAsiaTheme="minorHAnsi"/>
          <w:i w:val="0"/>
          <w:iCs w:val="0"/>
          <w:color w:val="auto"/>
          <w:sz w:val="20"/>
          <w:szCs w:val="20"/>
          <w:lang w:eastAsia="en-US"/>
        </w:rPr>
      </w:pPr>
      <w:bookmarkStart w:id="283" w:name="_Toc479333886"/>
      <w:r>
        <w:t xml:space="preserve">Figura </w:t>
      </w:r>
      <w:r w:rsidR="00805B44">
        <w:fldChar w:fldCharType="begin"/>
      </w:r>
      <w:r w:rsidR="00805B44">
        <w:instrText xml:space="preserve"> SEQ Figura \* ARABIC </w:instrText>
      </w:r>
      <w:r w:rsidR="00805B44">
        <w:fldChar w:fldCharType="separate"/>
      </w:r>
      <w:r w:rsidR="005F28B4">
        <w:rPr>
          <w:noProof/>
        </w:rPr>
        <w:t>11</w:t>
      </w:r>
      <w:r w:rsidR="00805B44">
        <w:rPr>
          <w:noProof/>
        </w:rPr>
        <w:fldChar w:fldCharType="end"/>
      </w:r>
      <w:bookmarkStart w:id="284" w:name="_Toc462710017"/>
      <w:r w:rsidR="0082033A" w:rsidRPr="0082033A">
        <w:rPr>
          <w:rFonts w:eastAsiaTheme="minorHAnsi"/>
          <w:i w:val="0"/>
          <w:iCs w:val="0"/>
          <w:color w:val="auto"/>
          <w:szCs w:val="16"/>
          <w:lang w:eastAsia="en-US"/>
        </w:rPr>
        <w:t xml:space="preserve"> </w:t>
      </w:r>
      <w:r w:rsidR="0082033A" w:rsidRPr="006C2067">
        <w:rPr>
          <w:rFonts w:eastAsiaTheme="minorHAnsi"/>
          <w:i w:val="0"/>
          <w:iCs w:val="0"/>
          <w:color w:val="auto"/>
          <w:sz w:val="20"/>
          <w:szCs w:val="20"/>
          <w:lang w:eastAsia="en-US"/>
        </w:rPr>
        <w:t>– Peso dos frutos de quatro diferentes ecótipos/cultivares do figo-da-índia (‘laranja’, ‘verde’, ‘Rosso’ e ‘Gialla’). Os valo</w:t>
      </w:r>
      <w:r w:rsidR="00882CE6">
        <w:rPr>
          <w:rFonts w:eastAsiaTheme="minorHAnsi"/>
          <w:i w:val="0"/>
          <w:iCs w:val="0"/>
          <w:color w:val="auto"/>
          <w:sz w:val="20"/>
          <w:szCs w:val="20"/>
          <w:lang w:eastAsia="en-US"/>
        </w:rPr>
        <w:t xml:space="preserve">res representam uma média de 30 </w:t>
      </w:r>
      <w:r w:rsidR="0082033A" w:rsidRPr="006C2067">
        <w:rPr>
          <w:rFonts w:eastAsiaTheme="minorHAnsi"/>
          <w:i w:val="0"/>
          <w:iCs w:val="0"/>
          <w:color w:val="auto"/>
          <w:sz w:val="20"/>
          <w:szCs w:val="20"/>
          <w:lang w:eastAsia="en-US"/>
        </w:rPr>
        <w:t xml:space="preserve">amostras por cultivar. Barras com a mesma letra no topo não são significativamente diferentes pelo teste de Duncan (Duncan Multiple Range Test, at </w:t>
      </w:r>
      <w:proofErr w:type="gramStart"/>
      <w:r w:rsidR="0082033A" w:rsidRPr="006C2067">
        <w:rPr>
          <w:rFonts w:eastAsiaTheme="minorHAnsi"/>
          <w:iCs w:val="0"/>
          <w:color w:val="auto"/>
          <w:sz w:val="20"/>
          <w:szCs w:val="20"/>
          <w:lang w:eastAsia="en-US"/>
        </w:rPr>
        <w:t>P&lt;0.</w:t>
      </w:r>
      <w:proofErr w:type="gramEnd"/>
      <w:r w:rsidR="0082033A" w:rsidRPr="006C2067">
        <w:rPr>
          <w:rFonts w:eastAsiaTheme="minorHAnsi"/>
          <w:iCs w:val="0"/>
          <w:color w:val="auto"/>
          <w:sz w:val="20"/>
          <w:szCs w:val="20"/>
          <w:lang w:eastAsia="en-US"/>
        </w:rPr>
        <w:t>05</w:t>
      </w:r>
      <w:r w:rsidR="0082033A" w:rsidRPr="006C2067">
        <w:rPr>
          <w:rFonts w:eastAsiaTheme="minorHAnsi"/>
          <w:i w:val="0"/>
          <w:iCs w:val="0"/>
          <w:color w:val="auto"/>
          <w:sz w:val="20"/>
          <w:szCs w:val="20"/>
          <w:lang w:eastAsia="en-US"/>
        </w:rPr>
        <w:t>).</w:t>
      </w:r>
      <w:bookmarkEnd w:id="283"/>
      <w:bookmarkEnd w:id="284"/>
      <w:r w:rsidR="0082033A" w:rsidRPr="006C2067">
        <w:rPr>
          <w:rFonts w:eastAsiaTheme="minorHAnsi"/>
          <w:i w:val="0"/>
          <w:iCs w:val="0"/>
          <w:color w:val="auto"/>
          <w:sz w:val="20"/>
          <w:szCs w:val="20"/>
          <w:lang w:eastAsia="en-US"/>
        </w:rPr>
        <w:t xml:space="preserve"> </w:t>
      </w:r>
    </w:p>
    <w:p w14:paraId="6C057B24" w14:textId="77777777" w:rsidR="00310D13" w:rsidRDefault="00310D13" w:rsidP="0082033A">
      <w:pPr>
        <w:spacing w:after="200" w:line="240" w:lineRule="auto"/>
        <w:rPr>
          <w:rFonts w:eastAsiaTheme="minorHAnsi"/>
          <w:i/>
          <w:iCs/>
          <w:color w:val="auto"/>
          <w:sz w:val="16"/>
          <w:szCs w:val="16"/>
          <w:lang w:eastAsia="en-US"/>
        </w:rPr>
      </w:pPr>
    </w:p>
    <w:p w14:paraId="2951FCC1" w14:textId="77777777" w:rsidR="00616D64" w:rsidRPr="0082033A" w:rsidRDefault="00616D64" w:rsidP="0082033A">
      <w:pPr>
        <w:spacing w:after="200" w:line="240" w:lineRule="auto"/>
        <w:rPr>
          <w:rFonts w:eastAsiaTheme="minorHAnsi"/>
          <w:i/>
          <w:iCs/>
          <w:color w:val="auto"/>
          <w:sz w:val="16"/>
          <w:szCs w:val="16"/>
          <w:lang w:eastAsia="en-US"/>
        </w:rPr>
      </w:pPr>
    </w:p>
    <w:p w14:paraId="495A4883" w14:textId="77777777" w:rsidR="00310D13" w:rsidRPr="00310D13" w:rsidRDefault="00310D13" w:rsidP="00310D13">
      <w:pPr>
        <w:keepNext/>
        <w:keepLines/>
        <w:spacing w:before="40" w:after="0"/>
        <w:outlineLvl w:val="3"/>
        <w:rPr>
          <w:rFonts w:eastAsiaTheme="minorHAnsi"/>
          <w:iCs/>
          <w:color w:val="auto"/>
          <w:lang w:eastAsia="en-US"/>
        </w:rPr>
      </w:pPr>
      <w:bookmarkStart w:id="285" w:name="_Toc479154859"/>
      <w:r w:rsidRPr="00310D13">
        <w:rPr>
          <w:rFonts w:eastAsiaTheme="minorHAnsi"/>
          <w:iCs/>
          <w:color w:val="auto"/>
          <w:lang w:eastAsia="en-US"/>
        </w:rPr>
        <w:t>3.1.1.2 Luminosidade (L*)</w:t>
      </w:r>
      <w:bookmarkEnd w:id="285"/>
    </w:p>
    <w:p w14:paraId="279C9F9C" w14:textId="77777777" w:rsidR="00310D13" w:rsidRPr="00310D13" w:rsidRDefault="00310D13" w:rsidP="00310D13">
      <w:pPr>
        <w:rPr>
          <w:rFonts w:eastAsiaTheme="minorHAnsi"/>
          <w:lang w:eastAsia="en-US"/>
        </w:rPr>
      </w:pPr>
    </w:p>
    <w:p w14:paraId="3EA3EB3B" w14:textId="412EF229" w:rsidR="00310D13" w:rsidRPr="00310D13" w:rsidRDefault="00157020" w:rsidP="00310D13">
      <w:pPr>
        <w:spacing w:after="160" w:line="360" w:lineRule="auto"/>
        <w:ind w:left="0" w:right="0" w:firstLine="0"/>
        <w:rPr>
          <w:rFonts w:eastAsiaTheme="minorHAnsi"/>
          <w:color w:val="auto"/>
          <w:lang w:eastAsia="en-US"/>
        </w:rPr>
      </w:pPr>
      <w:r>
        <w:rPr>
          <w:rFonts w:eastAsiaTheme="minorHAnsi"/>
          <w:color w:val="auto"/>
          <w:lang w:eastAsia="en-US"/>
        </w:rPr>
        <w:t>A F</w:t>
      </w:r>
      <w:r w:rsidR="00310D13" w:rsidRPr="00310D13">
        <w:rPr>
          <w:rFonts w:eastAsiaTheme="minorHAnsi"/>
          <w:color w:val="auto"/>
          <w:lang w:eastAsia="en-US"/>
        </w:rPr>
        <w:t>igura 12 representa a luminosidade</w:t>
      </w:r>
      <w:r w:rsidR="00F23D4C">
        <w:rPr>
          <w:rFonts w:eastAsiaTheme="minorHAnsi"/>
          <w:color w:val="auto"/>
          <w:lang w:eastAsia="en-US"/>
        </w:rPr>
        <w:t xml:space="preserve"> (L*) </w:t>
      </w:r>
      <w:proofErr w:type="gramStart"/>
      <w:r w:rsidR="00F23D4C">
        <w:rPr>
          <w:rFonts w:eastAsiaTheme="minorHAnsi"/>
          <w:color w:val="auto"/>
          <w:lang w:eastAsia="en-US"/>
        </w:rPr>
        <w:t>nas</w:t>
      </w:r>
      <w:proofErr w:type="gramEnd"/>
      <w:r w:rsidR="00F23D4C">
        <w:rPr>
          <w:rFonts w:eastAsiaTheme="minorHAnsi"/>
          <w:color w:val="auto"/>
          <w:lang w:eastAsia="en-US"/>
        </w:rPr>
        <w:t xml:space="preserve"> diferentes cultivares e </w:t>
      </w:r>
      <w:r w:rsidR="00310D13" w:rsidRPr="00310D13">
        <w:rPr>
          <w:rFonts w:eastAsiaTheme="minorHAnsi"/>
          <w:color w:val="auto"/>
          <w:lang w:eastAsia="en-US"/>
        </w:rPr>
        <w:t xml:space="preserve">ecótipos. Esta quando maior o seu valor maior será a claridade ou luminosidade apresentada </w:t>
      </w:r>
      <w:r w:rsidR="00310D13" w:rsidRPr="00310D13">
        <w:rPr>
          <w:rFonts w:eastAsiaTheme="minorHAnsi"/>
          <w:color w:val="auto"/>
          <w:lang w:eastAsia="en-US"/>
        </w:rPr>
        <w:fldChar w:fldCharType="begin" w:fldLock="1"/>
      </w:r>
      <w:r w:rsidR="00BB66BB">
        <w:rPr>
          <w:rFonts w:eastAsiaTheme="minorHAnsi"/>
          <w:color w:val="auto"/>
          <w:lang w:eastAsia="en-US"/>
        </w:rPr>
        <w:instrText>ADDIN CSL_CITATION { "citationItems" : [ { "id" : "ITEM-1", "itemData" : { "DOI" : "10.1590/S0101-20611999000100010", "author" : [ { "dropping-particle" : "", "family" : "Ferreira", "given" : "Vera L\u00facia Pupo", "non-dropping-particle" : "", "parse-names" : false, "suffix" : "" }, { "dropping-particle" : "", "family" : "Neto", "given" : "Rodrigo Ot\u00e1vio Teixeira", "non-dropping-particle" : "", "parse-names" : false, "suffix" : "" }, { "dropping-particle" : "de", "family" : "Moura", "given" : "Silvia Cristina Sobottka Rolim", "non-dropping-particle" : "", "parse-names" : false, "suffix" : "" }, { "dropping-particle" : "", "family" : "Silva", "given" : "Marcelo Souza", "non-dropping-particle" : "", "parse-names" : false, "suffix" : "" } ], "container-title" : "Food Science and Technology", "id" : "ITEM-1", "issue" : "1", "issued" : { "date-parts" : [ [ "1999" ] ] }, "page" : "37-42", "title" : "Cin\u00e9tica da degrada\u00e7\u00e3o da cor de solu\u00e7\u00e3o hidrossol\u00favel comercial de urucum, submetida a tratamentos t\u00e9rmicos", "type" : "article-journal", "volume" : "19" }, "uris" : [ "http://www.mendeley.com/documents/?uuid=d55c4f06-7ac4-4527-ac7a-73537aeca136" ] } ], "mendeley" : { "formattedCitation" : "(V. L. P. Ferreira, Neto, Moura, &amp; Silva, 1999)", "manualFormatting" : "(Ferreira, et al., 1999)", "plainTextFormattedCitation" : "(V. L. P. Ferreira, Neto, Moura, &amp; Silva, 1999)", "previouslyFormattedCitation" : "(V. L. P. Ferreira, Neto, Moura, &amp; Silva, 1999)" }, "properties" : { "noteIndex" : 0 }, "schema" : "https://github.com/citation-style-language/schema/raw/master/csl-citation.json" }</w:instrText>
      </w:r>
      <w:r w:rsidR="00310D13" w:rsidRPr="00310D13">
        <w:rPr>
          <w:rFonts w:eastAsiaTheme="minorHAnsi"/>
          <w:color w:val="auto"/>
          <w:lang w:eastAsia="en-US"/>
        </w:rPr>
        <w:fldChar w:fldCharType="separate"/>
      </w:r>
      <w:r w:rsidR="00310D13" w:rsidRPr="00310D13">
        <w:rPr>
          <w:rFonts w:eastAsiaTheme="minorHAnsi"/>
          <w:noProof/>
          <w:color w:val="auto"/>
          <w:lang w:eastAsia="en-US"/>
        </w:rPr>
        <w:t>(Ferreira, et al., 1999)</w:t>
      </w:r>
      <w:r w:rsidR="00310D13" w:rsidRPr="00310D13">
        <w:rPr>
          <w:rFonts w:eastAsiaTheme="minorHAnsi"/>
          <w:color w:val="auto"/>
          <w:lang w:eastAsia="en-US"/>
        </w:rPr>
        <w:fldChar w:fldCharType="end"/>
      </w:r>
      <w:r w:rsidR="00310D13" w:rsidRPr="00310D13">
        <w:rPr>
          <w:rFonts w:eastAsiaTheme="minorHAnsi"/>
          <w:color w:val="auto"/>
          <w:lang w:eastAsia="en-US"/>
        </w:rPr>
        <w:t>. O ecótipo ‘verde’ apresentou significativamente maior luminosidade (L*) corresponde</w:t>
      </w:r>
      <w:r>
        <w:rPr>
          <w:rFonts w:eastAsiaTheme="minorHAnsi"/>
          <w:color w:val="auto"/>
          <w:lang w:eastAsia="en-US"/>
        </w:rPr>
        <w:t>ndo aos frutos mais claros</w:t>
      </w:r>
      <w:r w:rsidR="00310D13" w:rsidRPr="00310D13">
        <w:rPr>
          <w:rFonts w:eastAsiaTheme="minorHAnsi"/>
          <w:color w:val="auto"/>
          <w:lang w:eastAsia="en-US"/>
        </w:rPr>
        <w:t>. Seguiram-se o ecótipo ’laranja’ e a cultivar ‘Gialla’ que também diferem s</w:t>
      </w:r>
      <w:r>
        <w:rPr>
          <w:rFonts w:eastAsiaTheme="minorHAnsi"/>
          <w:color w:val="auto"/>
          <w:lang w:eastAsia="en-US"/>
        </w:rPr>
        <w:t>ignificativamente entre si</w:t>
      </w:r>
      <w:r w:rsidR="00310D13" w:rsidRPr="00310D13">
        <w:rPr>
          <w:rFonts w:eastAsiaTheme="minorHAnsi"/>
          <w:color w:val="auto"/>
          <w:lang w:eastAsia="en-US"/>
        </w:rPr>
        <w:t xml:space="preserve">. Por último com o </w:t>
      </w:r>
      <w:r w:rsidR="000A5C28">
        <w:rPr>
          <w:rFonts w:eastAsiaTheme="minorHAnsi"/>
          <w:color w:val="auto"/>
          <w:lang w:eastAsia="en-US"/>
        </w:rPr>
        <w:t>significativo menor valor de L* a cultivar ‘Rosso’,</w:t>
      </w:r>
      <w:r w:rsidR="00310D13" w:rsidRPr="00310D13">
        <w:rPr>
          <w:rFonts w:eastAsiaTheme="minorHAnsi"/>
          <w:color w:val="auto"/>
          <w:lang w:eastAsia="en-US"/>
        </w:rPr>
        <w:t xml:space="preserve"> correspondendo à cultivar mais escura. A causa desta variação entre as </w:t>
      </w:r>
      <w:r w:rsidR="0050079E">
        <w:rPr>
          <w:rFonts w:eastAsiaTheme="minorHAnsi"/>
          <w:color w:val="auto"/>
          <w:lang w:eastAsia="en-US"/>
        </w:rPr>
        <w:t>cultivares poderá</w:t>
      </w:r>
      <w:r w:rsidR="00310D13" w:rsidRPr="00310D13">
        <w:rPr>
          <w:rFonts w:eastAsiaTheme="minorHAnsi"/>
          <w:color w:val="auto"/>
          <w:lang w:eastAsia="en-US"/>
        </w:rPr>
        <w:t xml:space="preserve"> está relacionada com a diferença de quantidades de compostos fenólicos e aminoácidos </w:t>
      </w:r>
      <w:r w:rsidR="00882CE6">
        <w:rPr>
          <w:rFonts w:eastAsiaTheme="minorHAnsi"/>
          <w:color w:val="auto"/>
          <w:lang w:eastAsia="en-US"/>
        </w:rPr>
        <w:t>presentes</w:t>
      </w:r>
      <w:r w:rsidR="00310D13" w:rsidRPr="00310D13">
        <w:rPr>
          <w:rFonts w:eastAsiaTheme="minorHAnsi"/>
          <w:color w:val="auto"/>
          <w:lang w:eastAsia="en-US"/>
        </w:rPr>
        <w:t xml:space="preserve"> na casca de cada cultivar </w:t>
      </w:r>
      <w:r w:rsidR="00310D13" w:rsidRPr="00310D13">
        <w:rPr>
          <w:rFonts w:eastAsiaTheme="minorHAnsi"/>
          <w:color w:val="auto"/>
          <w:lang w:eastAsia="en-US"/>
        </w:rPr>
        <w:fldChar w:fldCharType="begin" w:fldLock="1"/>
      </w:r>
      <w:r w:rsidR="00BC0CEB">
        <w:rPr>
          <w:rFonts w:eastAsiaTheme="minorHAnsi"/>
          <w:color w:val="auto"/>
          <w:lang w:eastAsia="en-US"/>
        </w:rPr>
        <w:instrText>ADDIN CSL_CITATION { "citationItems" : [ { "id" : "ITEM-1", "itemData" : { "author" : [ { "dropping-particle" : "", "family" : "Guerreiro", "given" : "Adriana Cavaco", "non-dropping-particle" : "", "parse-names" : false, "suffix" : "" } ], "id" : "ITEM-1", "issued" : { "date-parts" : [ [ "2012" ] ] }, "number-of-pages" : "162 pp", "publisher" : "Universidade do Algarve", "title" : "Conserva\u00e7\u00e3o do medronho em fresco e em geleia Conserva\u00e7\u00e3o do medronho em fresco e em geleia", "type" : "thesis" }, "uris" : [ "http://www.mendeley.com/documents/?uuid=7197006e-fa41-4fc9-9f31-0ff148fe8966" ] } ], "mendeley" : { "formattedCitation" : "(Guerreiro, 2012)", "plainTextFormattedCitation" : "(Guerreiro, 2012)", "previouslyFormattedCitation" : "(Guerreiro, 2012)" }, "properties" : { "noteIndex" : 0 }, "schema" : "https://github.com/citation-style-language/schema/raw/master/csl-citation.json" }</w:instrText>
      </w:r>
      <w:r w:rsidR="00310D13" w:rsidRPr="00310D13">
        <w:rPr>
          <w:rFonts w:eastAsiaTheme="minorHAnsi"/>
          <w:color w:val="auto"/>
          <w:lang w:eastAsia="en-US"/>
        </w:rPr>
        <w:fldChar w:fldCharType="separate"/>
      </w:r>
      <w:r w:rsidR="00310D13" w:rsidRPr="00310D13">
        <w:rPr>
          <w:rFonts w:eastAsiaTheme="minorHAnsi"/>
          <w:noProof/>
          <w:color w:val="auto"/>
          <w:lang w:eastAsia="en-US"/>
        </w:rPr>
        <w:t>(Guerreiro, 2012)</w:t>
      </w:r>
      <w:r w:rsidR="00310D13" w:rsidRPr="00310D13">
        <w:rPr>
          <w:rFonts w:eastAsiaTheme="minorHAnsi"/>
          <w:color w:val="auto"/>
          <w:lang w:eastAsia="en-US"/>
        </w:rPr>
        <w:fldChar w:fldCharType="end"/>
      </w:r>
      <w:r w:rsidR="00310D13" w:rsidRPr="00310D13">
        <w:rPr>
          <w:rFonts w:eastAsiaTheme="minorHAnsi"/>
          <w:color w:val="auto"/>
          <w:lang w:eastAsia="en-US"/>
        </w:rPr>
        <w:t xml:space="preserve">. </w:t>
      </w:r>
    </w:p>
    <w:p w14:paraId="3183FBD2" w14:textId="77777777" w:rsidR="004E4759" w:rsidRDefault="008474BA" w:rsidP="00676F1F">
      <w:pPr>
        <w:keepNext/>
        <w:spacing w:after="160" w:line="360" w:lineRule="auto"/>
        <w:ind w:left="0" w:right="0" w:firstLine="0"/>
        <w:jc w:val="center"/>
      </w:pPr>
      <w:r>
        <w:rPr>
          <w:noProof/>
        </w:rPr>
        <w:lastRenderedPageBreak/>
        <w:drawing>
          <wp:inline distT="0" distB="0" distL="0" distR="0" wp14:anchorId="07C8965E" wp14:editId="353D4BE5">
            <wp:extent cx="5181600" cy="2743200"/>
            <wp:effectExtent l="0" t="0" r="0" b="0"/>
            <wp:docPr id="18" name="Gráfico 18">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F606269" w14:textId="09BB14D5" w:rsidR="0082033A" w:rsidRDefault="004E4759" w:rsidP="00676F1F">
      <w:pPr>
        <w:pStyle w:val="Legenda"/>
        <w:ind w:right="-1"/>
        <w:rPr>
          <w:rFonts w:eastAsiaTheme="minorHAnsi"/>
          <w:i w:val="0"/>
          <w:color w:val="auto"/>
          <w:sz w:val="20"/>
          <w:szCs w:val="20"/>
          <w:lang w:eastAsia="en-US"/>
        </w:rPr>
      </w:pPr>
      <w:bookmarkStart w:id="286" w:name="_Toc479333887"/>
      <w:r>
        <w:t xml:space="preserve">Figura </w:t>
      </w:r>
      <w:r w:rsidR="00805B44">
        <w:fldChar w:fldCharType="begin"/>
      </w:r>
      <w:r w:rsidR="00805B44">
        <w:instrText xml:space="preserve"> SEQ Figura \* ARABIC </w:instrText>
      </w:r>
      <w:r w:rsidR="00805B44">
        <w:fldChar w:fldCharType="separate"/>
      </w:r>
      <w:r w:rsidR="005F28B4">
        <w:rPr>
          <w:noProof/>
        </w:rPr>
        <w:t>12</w:t>
      </w:r>
      <w:r w:rsidR="00805B44">
        <w:rPr>
          <w:noProof/>
        </w:rPr>
        <w:fldChar w:fldCharType="end"/>
      </w:r>
      <w:r w:rsidR="008474BA" w:rsidRPr="004D4932">
        <w:rPr>
          <w:rFonts w:eastAsiaTheme="minorHAnsi"/>
          <w:color w:val="auto"/>
          <w:sz w:val="22"/>
          <w:lang w:eastAsia="en-US"/>
        </w:rPr>
        <w:t xml:space="preserve"> </w:t>
      </w:r>
      <w:r w:rsidR="008474BA" w:rsidRPr="00F23D90">
        <w:rPr>
          <w:rFonts w:eastAsiaTheme="minorHAnsi"/>
          <w:i w:val="0"/>
          <w:color w:val="auto"/>
          <w:sz w:val="22"/>
          <w:lang w:eastAsia="en-US"/>
        </w:rPr>
        <w:t xml:space="preserve">– </w:t>
      </w:r>
      <w:r w:rsidR="008474BA" w:rsidRPr="006C2067">
        <w:rPr>
          <w:rFonts w:eastAsiaTheme="minorHAnsi"/>
          <w:i w:val="0"/>
          <w:color w:val="auto"/>
          <w:sz w:val="20"/>
          <w:szCs w:val="20"/>
          <w:lang w:eastAsia="en-US"/>
        </w:rPr>
        <w:t>luminosidade (L*) dos frutos de quatro diferentes ecótipos/cultivares do figo-da-índia (‘laranja’, ‘verde’, ‘Rosso’ e ‘Gialla’). Os val</w:t>
      </w:r>
      <w:r w:rsidR="00882CE6">
        <w:rPr>
          <w:rFonts w:eastAsiaTheme="minorHAnsi"/>
          <w:i w:val="0"/>
          <w:color w:val="auto"/>
          <w:sz w:val="20"/>
          <w:szCs w:val="20"/>
          <w:lang w:eastAsia="en-US"/>
        </w:rPr>
        <w:t>ores representam uma média de 30</w:t>
      </w:r>
      <w:r w:rsidR="008474BA" w:rsidRPr="006C2067">
        <w:rPr>
          <w:rFonts w:eastAsiaTheme="minorHAnsi"/>
          <w:i w:val="0"/>
          <w:color w:val="auto"/>
          <w:sz w:val="20"/>
          <w:szCs w:val="20"/>
          <w:lang w:eastAsia="en-US"/>
        </w:rPr>
        <w:t xml:space="preserve"> amostras por cultivar. Barras com a mesma letra no topo não são significativamente diferentes pelo teste de Duncan (Duncan Multiple Range Test, at </w:t>
      </w:r>
      <w:proofErr w:type="gramStart"/>
      <w:r w:rsidR="008474BA" w:rsidRPr="006C2067">
        <w:rPr>
          <w:rFonts w:eastAsiaTheme="minorHAnsi"/>
          <w:i w:val="0"/>
          <w:color w:val="auto"/>
          <w:sz w:val="20"/>
          <w:szCs w:val="20"/>
          <w:lang w:eastAsia="en-US"/>
        </w:rPr>
        <w:t>P&lt;0.</w:t>
      </w:r>
      <w:proofErr w:type="gramEnd"/>
      <w:r w:rsidR="008474BA" w:rsidRPr="006C2067">
        <w:rPr>
          <w:rFonts w:eastAsiaTheme="minorHAnsi"/>
          <w:i w:val="0"/>
          <w:color w:val="auto"/>
          <w:sz w:val="20"/>
          <w:szCs w:val="20"/>
          <w:lang w:eastAsia="en-US"/>
        </w:rPr>
        <w:t>05)</w:t>
      </w:r>
      <w:r w:rsidRPr="006C2067">
        <w:rPr>
          <w:rFonts w:eastAsiaTheme="minorHAnsi"/>
          <w:i w:val="0"/>
          <w:color w:val="auto"/>
          <w:sz w:val="20"/>
          <w:szCs w:val="20"/>
          <w:lang w:eastAsia="en-US"/>
        </w:rPr>
        <w:t>.</w:t>
      </w:r>
      <w:bookmarkEnd w:id="286"/>
    </w:p>
    <w:p w14:paraId="1FAC15B0" w14:textId="77777777" w:rsidR="004E4759" w:rsidRDefault="004E4759" w:rsidP="004E4759">
      <w:pPr>
        <w:rPr>
          <w:rFonts w:eastAsiaTheme="minorHAnsi"/>
          <w:lang w:eastAsia="en-US"/>
        </w:rPr>
      </w:pPr>
    </w:p>
    <w:p w14:paraId="27C8B59D" w14:textId="77777777" w:rsidR="004E4759" w:rsidRPr="004E4759" w:rsidRDefault="004E4759" w:rsidP="004E4759">
      <w:pPr>
        <w:pStyle w:val="Cabealho4"/>
        <w:rPr>
          <w:rFonts w:ascii="Times New Roman" w:hAnsi="Times New Roman" w:cs="Times New Roman"/>
          <w:i w:val="0"/>
          <w:color w:val="auto"/>
        </w:rPr>
      </w:pPr>
      <w:bookmarkStart w:id="287" w:name="_Toc479154860"/>
      <w:r w:rsidRPr="004E4759">
        <w:rPr>
          <w:rFonts w:ascii="Times New Roman" w:hAnsi="Times New Roman" w:cs="Times New Roman"/>
          <w:i w:val="0"/>
          <w:color w:val="auto"/>
        </w:rPr>
        <w:t>3.1.1.3 Parâmetro cor a*</w:t>
      </w:r>
      <w:bookmarkEnd w:id="287"/>
    </w:p>
    <w:p w14:paraId="59EC161C" w14:textId="77777777" w:rsidR="004E4759" w:rsidRPr="004E4759" w:rsidRDefault="004E4759" w:rsidP="004E4759">
      <w:pPr>
        <w:rPr>
          <w:rFonts w:eastAsiaTheme="minorHAnsi"/>
          <w:lang w:eastAsia="en-US"/>
        </w:rPr>
      </w:pPr>
    </w:p>
    <w:p w14:paraId="5119145A" w14:textId="4799CE75" w:rsidR="004E4759" w:rsidRDefault="004E4759" w:rsidP="004E4759">
      <w:pPr>
        <w:spacing w:after="160" w:line="360" w:lineRule="auto"/>
        <w:ind w:left="0" w:right="0" w:firstLine="0"/>
        <w:rPr>
          <w:rFonts w:eastAsiaTheme="minorHAnsi"/>
          <w:color w:val="auto"/>
          <w:szCs w:val="24"/>
          <w:lang w:eastAsia="en-US"/>
        </w:rPr>
      </w:pPr>
      <w:r w:rsidRPr="004E4759">
        <w:rPr>
          <w:rFonts w:eastAsiaTheme="minorHAnsi"/>
          <w:color w:val="auto"/>
          <w:szCs w:val="24"/>
          <w:lang w:eastAsia="en-US"/>
        </w:rPr>
        <w:t>Sabendo que o parâmetro de cor a* representa a cor na zona do verde (-a*) e do vermelho (+a*), ou seja, quanto maior o seu valor mais próximo será da cor vermelha ou quanto mais negativo mai</w:t>
      </w:r>
      <w:r w:rsidR="00157020">
        <w:rPr>
          <w:rFonts w:eastAsiaTheme="minorHAnsi"/>
          <w:color w:val="auto"/>
          <w:szCs w:val="24"/>
          <w:lang w:eastAsia="en-US"/>
        </w:rPr>
        <w:t>s se aproxima da cor verde. Na F</w:t>
      </w:r>
      <w:r w:rsidRPr="004E4759">
        <w:rPr>
          <w:rFonts w:eastAsiaTheme="minorHAnsi"/>
          <w:color w:val="auto"/>
          <w:szCs w:val="24"/>
          <w:lang w:eastAsia="en-US"/>
        </w:rPr>
        <w:t xml:space="preserve">igura 13 temos o gráfico que representa este parâmetro a*. Como seria de esperar a cultivar verde apresenta os valores mais baixos e negativos, seguiram-se já com valores de a* positivos o ecótipo ‘laranja’. </w:t>
      </w:r>
      <w:proofErr w:type="gramStart"/>
      <w:r w:rsidR="00D01C4F">
        <w:rPr>
          <w:rFonts w:eastAsiaTheme="minorHAnsi"/>
          <w:color w:val="auto"/>
          <w:szCs w:val="24"/>
          <w:lang w:eastAsia="en-US"/>
        </w:rPr>
        <w:t>Nas</w:t>
      </w:r>
      <w:proofErr w:type="gramEnd"/>
      <w:r w:rsidRPr="004E4759">
        <w:rPr>
          <w:rFonts w:eastAsiaTheme="minorHAnsi"/>
          <w:color w:val="auto"/>
          <w:szCs w:val="24"/>
          <w:lang w:eastAsia="en-US"/>
        </w:rPr>
        <w:t xml:space="preserve"> cultivar</w:t>
      </w:r>
      <w:r w:rsidR="00EC6D4F">
        <w:rPr>
          <w:rFonts w:eastAsiaTheme="minorHAnsi"/>
          <w:color w:val="auto"/>
          <w:szCs w:val="24"/>
          <w:lang w:eastAsia="en-US"/>
        </w:rPr>
        <w:t>es</w:t>
      </w:r>
      <w:r w:rsidR="00843A68">
        <w:rPr>
          <w:rFonts w:eastAsiaTheme="minorHAnsi"/>
          <w:color w:val="auto"/>
          <w:szCs w:val="24"/>
          <w:lang w:eastAsia="en-US"/>
        </w:rPr>
        <w:t xml:space="preserve"> ´Gialla’ e ‘Rosso’ os valores foram</w:t>
      </w:r>
      <w:r w:rsidRPr="004E4759">
        <w:rPr>
          <w:rFonts w:eastAsiaTheme="minorHAnsi"/>
          <w:color w:val="auto"/>
          <w:szCs w:val="24"/>
          <w:lang w:eastAsia="en-US"/>
        </w:rPr>
        <w:t xml:space="preserve"> próximos, </w:t>
      </w:r>
      <w:r w:rsidR="00D01C4F">
        <w:rPr>
          <w:rFonts w:eastAsiaTheme="minorHAnsi"/>
          <w:color w:val="auto"/>
          <w:szCs w:val="24"/>
          <w:lang w:eastAsia="en-US"/>
        </w:rPr>
        <w:t>não diferindo estatisticamente, mas ligeiramente</w:t>
      </w:r>
      <w:r w:rsidRPr="004E4759">
        <w:rPr>
          <w:rFonts w:eastAsiaTheme="minorHAnsi"/>
          <w:color w:val="auto"/>
          <w:szCs w:val="24"/>
          <w:lang w:eastAsia="en-US"/>
        </w:rPr>
        <w:t xml:space="preserve"> mais próximos do vermelho </w:t>
      </w:r>
      <w:r w:rsidR="00D01C4F">
        <w:rPr>
          <w:rFonts w:eastAsiaTheme="minorHAnsi"/>
          <w:color w:val="auto"/>
          <w:szCs w:val="24"/>
          <w:lang w:eastAsia="en-US"/>
        </w:rPr>
        <w:t>na</w:t>
      </w:r>
      <w:r w:rsidRPr="004E4759">
        <w:rPr>
          <w:rFonts w:eastAsiaTheme="minorHAnsi"/>
          <w:color w:val="auto"/>
          <w:szCs w:val="24"/>
          <w:lang w:eastAsia="en-US"/>
        </w:rPr>
        <w:t xml:space="preserve"> cultivar ‘Rosso’. Estes resultados estão de acordo com os de Lisbôa </w:t>
      </w:r>
      <w:r w:rsidRPr="004E4759">
        <w:rPr>
          <w:rFonts w:eastAsiaTheme="minorHAnsi"/>
          <w:i/>
          <w:color w:val="auto"/>
          <w:szCs w:val="24"/>
          <w:lang w:eastAsia="en-US"/>
        </w:rPr>
        <w:t xml:space="preserve">et. </w:t>
      </w:r>
      <w:proofErr w:type="gramStart"/>
      <w:r w:rsidRPr="004E4759">
        <w:rPr>
          <w:rFonts w:eastAsiaTheme="minorHAnsi"/>
          <w:i/>
          <w:color w:val="auto"/>
          <w:szCs w:val="24"/>
          <w:lang w:eastAsia="en-US"/>
        </w:rPr>
        <w:t>al</w:t>
      </w:r>
      <w:proofErr w:type="gramEnd"/>
      <w:r w:rsidRPr="004E4759">
        <w:rPr>
          <w:rFonts w:eastAsiaTheme="minorHAnsi"/>
          <w:color w:val="auto"/>
          <w:szCs w:val="24"/>
          <w:lang w:eastAsia="en-US"/>
        </w:rPr>
        <w:t xml:space="preserve"> (2012) segundo os quais com o aumento do vermelho (a*) existe um decréscimo da luminosidade, que foi o que se verificou nos frutos em estudo. </w:t>
      </w:r>
    </w:p>
    <w:p w14:paraId="4A2E94EA" w14:textId="77777777" w:rsidR="000A77F2" w:rsidRDefault="004E4759" w:rsidP="00676F1F">
      <w:pPr>
        <w:keepNext/>
        <w:spacing w:after="160" w:line="360" w:lineRule="auto"/>
        <w:ind w:left="0" w:right="0" w:firstLine="0"/>
        <w:jc w:val="center"/>
      </w:pPr>
      <w:r>
        <w:rPr>
          <w:noProof/>
        </w:rPr>
        <w:lastRenderedPageBreak/>
        <w:drawing>
          <wp:inline distT="0" distB="0" distL="0" distR="0" wp14:anchorId="0B956F6E" wp14:editId="7EE07D43">
            <wp:extent cx="5105400" cy="2743200"/>
            <wp:effectExtent l="0" t="0" r="0" b="0"/>
            <wp:docPr id="19" name="Gráfico 19">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813B523" w14:textId="6B08DE3F" w:rsidR="004E4759" w:rsidRDefault="000A77F2" w:rsidP="00676F1F">
      <w:pPr>
        <w:pStyle w:val="Legenda"/>
        <w:ind w:right="-1"/>
        <w:rPr>
          <w:rFonts w:eastAsiaTheme="minorHAnsi"/>
          <w:color w:val="auto"/>
          <w:sz w:val="22"/>
          <w:lang w:eastAsia="en-US"/>
        </w:rPr>
      </w:pPr>
      <w:bookmarkStart w:id="288" w:name="_Toc479333888"/>
      <w:r>
        <w:t xml:space="preserve">Figura </w:t>
      </w:r>
      <w:r w:rsidR="00805B44">
        <w:fldChar w:fldCharType="begin"/>
      </w:r>
      <w:r w:rsidR="00805B44">
        <w:instrText xml:space="preserve"> SEQ Figura \* ARABIC </w:instrText>
      </w:r>
      <w:r w:rsidR="00805B44">
        <w:fldChar w:fldCharType="separate"/>
      </w:r>
      <w:r w:rsidR="005F28B4">
        <w:rPr>
          <w:noProof/>
        </w:rPr>
        <w:t>13</w:t>
      </w:r>
      <w:r w:rsidR="00805B44">
        <w:rPr>
          <w:noProof/>
        </w:rPr>
        <w:fldChar w:fldCharType="end"/>
      </w:r>
      <w:r>
        <w:t xml:space="preserve"> - </w:t>
      </w:r>
      <w:r w:rsidRPr="006C2067">
        <w:rPr>
          <w:i w:val="0"/>
          <w:color w:val="auto"/>
        </w:rPr>
        <w:t xml:space="preserve">Parâmetro de cor (a*) </w:t>
      </w:r>
      <w:r w:rsidRPr="006C2067">
        <w:rPr>
          <w:i w:val="0"/>
          <w:color w:val="auto"/>
          <w:sz w:val="20"/>
          <w:szCs w:val="20"/>
        </w:rPr>
        <w:t>dos frutos de quatro diferentes ecótipos/cultivares do figo-da-índia ‘laranja’, ‘verde’, ‘Rosso’ e ‘Gialla’). Os val</w:t>
      </w:r>
      <w:r w:rsidR="00882CE6">
        <w:rPr>
          <w:i w:val="0"/>
          <w:color w:val="auto"/>
          <w:sz w:val="20"/>
          <w:szCs w:val="20"/>
        </w:rPr>
        <w:t>ores representam uma média de 30</w:t>
      </w:r>
      <w:r w:rsidRPr="006C2067">
        <w:rPr>
          <w:i w:val="0"/>
          <w:color w:val="auto"/>
          <w:sz w:val="20"/>
          <w:szCs w:val="20"/>
        </w:rPr>
        <w:t xml:space="preserve"> amostras por cultivar. Barras com a mesma letra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05)</w:t>
      </w:r>
      <w:r w:rsidRPr="006C2067">
        <w:rPr>
          <w:rFonts w:eastAsiaTheme="minorHAnsi"/>
          <w:i w:val="0"/>
          <w:color w:val="auto"/>
          <w:sz w:val="22"/>
          <w:lang w:eastAsia="en-US"/>
        </w:rPr>
        <w:t>.</w:t>
      </w:r>
      <w:bookmarkEnd w:id="288"/>
    </w:p>
    <w:p w14:paraId="271901A4" w14:textId="77777777" w:rsidR="000A77F2" w:rsidRDefault="000A77F2" w:rsidP="000A77F2">
      <w:pPr>
        <w:rPr>
          <w:rFonts w:eastAsiaTheme="minorHAnsi"/>
          <w:lang w:eastAsia="en-US"/>
        </w:rPr>
      </w:pPr>
    </w:p>
    <w:p w14:paraId="0560C939" w14:textId="77777777" w:rsidR="000A77F2" w:rsidRPr="000A77F2" w:rsidRDefault="000A77F2" w:rsidP="000A77F2">
      <w:pPr>
        <w:keepNext/>
        <w:keepLines/>
        <w:spacing w:before="40" w:after="0"/>
        <w:outlineLvl w:val="3"/>
        <w:rPr>
          <w:rFonts w:eastAsiaTheme="minorHAnsi"/>
          <w:iCs/>
          <w:color w:val="auto"/>
          <w:lang w:eastAsia="en-US"/>
        </w:rPr>
      </w:pPr>
      <w:bookmarkStart w:id="289" w:name="_Toc479154861"/>
      <w:r w:rsidRPr="000A77F2">
        <w:rPr>
          <w:rFonts w:eastAsiaTheme="minorHAnsi"/>
          <w:iCs/>
          <w:color w:val="auto"/>
          <w:lang w:eastAsia="en-US"/>
        </w:rPr>
        <w:t>3.1.1.4 Parâmetro cor (b*)</w:t>
      </w:r>
      <w:bookmarkEnd w:id="289"/>
    </w:p>
    <w:p w14:paraId="6D143E9C" w14:textId="77777777" w:rsidR="000A77F2" w:rsidRPr="000A77F2" w:rsidRDefault="000A77F2" w:rsidP="000A77F2">
      <w:pPr>
        <w:rPr>
          <w:rFonts w:eastAsiaTheme="minorHAnsi"/>
          <w:lang w:eastAsia="en-US"/>
        </w:rPr>
      </w:pPr>
    </w:p>
    <w:p w14:paraId="3CB2DBA3" w14:textId="6563BD33"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Este parâmetro indica a coloração na região do azul (-b*) até a região do amarelo (+b*), logo quan</w:t>
      </w:r>
      <w:r w:rsidR="00D01C4F">
        <w:rPr>
          <w:rFonts w:eastAsiaTheme="minorHAnsi"/>
          <w:color w:val="auto"/>
          <w:lang w:eastAsia="en-US"/>
        </w:rPr>
        <w:t>t</w:t>
      </w:r>
      <w:r w:rsidRPr="000A77F2">
        <w:rPr>
          <w:rFonts w:eastAsiaTheme="minorHAnsi"/>
          <w:color w:val="auto"/>
          <w:lang w:eastAsia="en-US"/>
        </w:rPr>
        <w:t>o</w:t>
      </w:r>
      <w:r w:rsidR="00D01C4F">
        <w:rPr>
          <w:rFonts w:eastAsiaTheme="minorHAnsi"/>
          <w:color w:val="auto"/>
          <w:lang w:eastAsia="en-US"/>
        </w:rPr>
        <w:t xml:space="preserve"> maior</w:t>
      </w:r>
      <w:r w:rsidRPr="000A77F2">
        <w:rPr>
          <w:rFonts w:eastAsiaTheme="minorHAnsi"/>
          <w:color w:val="auto"/>
          <w:lang w:eastAsia="en-US"/>
        </w:rPr>
        <w:t xml:space="preserve"> o valor de b* for maior mais próximo do amarelo se encontra </w:t>
      </w:r>
      <w:r w:rsidRPr="000A77F2">
        <w:rPr>
          <w:rFonts w:eastAsiaTheme="minorHAnsi"/>
          <w:color w:val="auto"/>
          <w:lang w:eastAsia="en-US"/>
        </w:rPr>
        <w:fldChar w:fldCharType="begin" w:fldLock="1"/>
      </w:r>
      <w:r w:rsidR="008F538C">
        <w:rPr>
          <w:rFonts w:eastAsiaTheme="minorHAnsi"/>
          <w:color w:val="auto"/>
          <w:lang w:eastAsia="en-US"/>
        </w:rPr>
        <w:instrText>ADDIN CSL_CITATION { "citationItems" : [ { "id" : "ITEM-1", "itemData" : { "author" : [ { "dropping-particle" : "", "family" : "Harder", "given" : "Marcia Nalesso Costa", "non-dropping-particle" : "", "parse-names" : false, "suffix" : "" }, { "dropping-particle" : "", "family" : "Canniatti-brazaca", "given" : "Solange Guidolin", "non-dropping-particle" : "", "parse-names" : false, "suffix" : "" }, { "dropping-particle" : "", "family" : "Arthur", "given" : "Valter", "non-dropping-particle" : "", "parse-names" : false, "suffix" : "" } ], "container-title" : "Revista Portuguesa de ciencias veterin\u00e1rias", "id" : "ITEM-1", "issue" : "2007", "issued" : { "date-parts" : [ [ "2007" ] ] }, "page" : "339-342", "title" : "Avalia\u00e7\u00e3o quantitativa por color\u00edmetro digital da cor do ovo de galinhas poedeiras alimentadas com urucum ( Bixa orellana )", "type" : "article-journal", "volume" : "102" }, "uris" : [ "http://www.mendeley.com/documents/?uuid=1364ea47-768f-4040-9c37-9b9972258455" ] } ], "mendeley" : { "formattedCitation" : "(Harder, Canniatti-brazaca, &amp; Arthur, 2007)", "manualFormatting" : "(Harder et al., 2007)", "plainTextFormattedCitation" : "(Harder, Canniatti-brazaca, &amp; Arthur, 2007)", "previouslyFormattedCitation" : "(Harder, Canniatti-brazaca, &amp; Arthur, 2007)" }, "properties" : { "noteIndex" : 0 }, "schema" : "https://github.com/citation-style-language/schema/raw/master/csl-citation.json" }</w:instrText>
      </w:r>
      <w:r w:rsidRPr="000A77F2">
        <w:rPr>
          <w:rFonts w:eastAsiaTheme="minorHAnsi"/>
          <w:color w:val="auto"/>
          <w:lang w:eastAsia="en-US"/>
        </w:rPr>
        <w:fldChar w:fldCharType="separate"/>
      </w:r>
      <w:r w:rsidRPr="000A77F2">
        <w:rPr>
          <w:rFonts w:eastAsiaTheme="minorHAnsi"/>
          <w:noProof/>
          <w:color w:val="auto"/>
          <w:lang w:eastAsia="en-US"/>
        </w:rPr>
        <w:t>(Har</w:t>
      </w:r>
      <w:r w:rsidR="005332B9">
        <w:rPr>
          <w:rFonts w:eastAsiaTheme="minorHAnsi"/>
          <w:noProof/>
          <w:color w:val="auto"/>
          <w:lang w:eastAsia="en-US"/>
        </w:rPr>
        <w:t>der et al.</w:t>
      </w:r>
      <w:r w:rsidRPr="000A77F2">
        <w:rPr>
          <w:rFonts w:eastAsiaTheme="minorHAnsi"/>
          <w:noProof/>
          <w:color w:val="auto"/>
          <w:lang w:eastAsia="en-US"/>
        </w:rPr>
        <w:t>, 2007)</w:t>
      </w:r>
      <w:r w:rsidRPr="000A77F2">
        <w:rPr>
          <w:rFonts w:eastAsiaTheme="minorHAnsi"/>
          <w:color w:val="auto"/>
          <w:lang w:eastAsia="en-US"/>
        </w:rPr>
        <w:fldChar w:fldCharType="end"/>
      </w:r>
      <w:r w:rsidRPr="000A77F2">
        <w:rPr>
          <w:rFonts w:eastAsiaTheme="minorHAnsi"/>
          <w:color w:val="auto"/>
          <w:lang w:eastAsia="en-US"/>
        </w:rPr>
        <w:t>. A cor do fruto que mais se assemelhou ao amarelo, ou seja, com o valor mais elevado de b* foi o ecótipo ‘verde’. Podemos dizer que o ecótipo ‘laranja’ e a cultivar ‘Gialla’ apresentaram valores de b* semelhantes. Como seria de esperar com menores valores de b*, ficando mais próximo da região</w:t>
      </w:r>
      <w:r w:rsidR="00157020">
        <w:rPr>
          <w:rFonts w:eastAsiaTheme="minorHAnsi"/>
          <w:color w:val="auto"/>
          <w:lang w:eastAsia="en-US"/>
        </w:rPr>
        <w:t xml:space="preserve"> azul temos a cultivar ‘Rosso’ (Figura </w:t>
      </w:r>
      <w:proofErr w:type="gramStart"/>
      <w:r w:rsidR="00157020">
        <w:rPr>
          <w:rFonts w:eastAsiaTheme="minorHAnsi"/>
          <w:color w:val="auto"/>
          <w:lang w:eastAsia="en-US"/>
        </w:rPr>
        <w:t>14)</w:t>
      </w:r>
      <w:r w:rsidRPr="000A77F2">
        <w:rPr>
          <w:rFonts w:eastAsiaTheme="minorHAnsi"/>
          <w:color w:val="auto"/>
          <w:lang w:eastAsia="en-US"/>
        </w:rPr>
        <w:t xml:space="preserve"> </w:t>
      </w:r>
      <w:r w:rsidR="00157020">
        <w:rPr>
          <w:rFonts w:eastAsiaTheme="minorHAnsi"/>
          <w:color w:val="auto"/>
          <w:lang w:eastAsia="en-US"/>
        </w:rPr>
        <w:t>.</w:t>
      </w:r>
      <w:proofErr w:type="gramEnd"/>
    </w:p>
    <w:p w14:paraId="34A0C486" w14:textId="77777777" w:rsidR="000A77F2" w:rsidRDefault="000A77F2" w:rsidP="00676F1F">
      <w:pPr>
        <w:keepNext/>
        <w:ind w:right="707"/>
        <w:jc w:val="center"/>
      </w:pPr>
      <w:r w:rsidRPr="000A77F2">
        <w:rPr>
          <w:b/>
          <w:noProof/>
        </w:rPr>
        <w:lastRenderedPageBreak/>
        <w:drawing>
          <wp:inline distT="0" distB="0" distL="0" distR="0" wp14:anchorId="05327D49" wp14:editId="3719FC59">
            <wp:extent cx="5105400" cy="2743200"/>
            <wp:effectExtent l="0" t="0" r="0" b="0"/>
            <wp:docPr id="20" name="Gráfico 20">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6A00706" w14:textId="06713BD4" w:rsidR="000A77F2" w:rsidRPr="006C2067" w:rsidRDefault="000A77F2" w:rsidP="00676F1F">
      <w:pPr>
        <w:pStyle w:val="Legenda"/>
        <w:ind w:right="-1"/>
        <w:rPr>
          <w:i w:val="0"/>
          <w:color w:val="auto"/>
          <w:sz w:val="20"/>
          <w:szCs w:val="20"/>
        </w:rPr>
      </w:pPr>
      <w:bookmarkStart w:id="290" w:name="_Toc479333889"/>
      <w:r>
        <w:t xml:space="preserve">Figura </w:t>
      </w:r>
      <w:r w:rsidR="00805B44">
        <w:fldChar w:fldCharType="begin"/>
      </w:r>
      <w:r w:rsidR="00805B44">
        <w:instrText xml:space="preserve"> SEQ Figura \* ARABIC </w:instrText>
      </w:r>
      <w:r w:rsidR="00805B44">
        <w:fldChar w:fldCharType="separate"/>
      </w:r>
      <w:r w:rsidR="005F28B4">
        <w:rPr>
          <w:noProof/>
        </w:rPr>
        <w:t>14</w:t>
      </w:r>
      <w:r w:rsidR="00805B44">
        <w:rPr>
          <w:noProof/>
        </w:rPr>
        <w:fldChar w:fldCharType="end"/>
      </w:r>
      <w:r>
        <w:t xml:space="preserve"> - </w:t>
      </w:r>
      <w:r w:rsidRPr="006C2067">
        <w:rPr>
          <w:i w:val="0"/>
          <w:color w:val="auto"/>
        </w:rPr>
        <w:t xml:space="preserve">Parâmetro da cor b* </w:t>
      </w:r>
      <w:r w:rsidRPr="006C2067">
        <w:rPr>
          <w:i w:val="0"/>
          <w:color w:val="auto"/>
          <w:sz w:val="20"/>
          <w:szCs w:val="20"/>
        </w:rPr>
        <w:t>dos frutos de quatro diferentes ecótipos/cultivares do figo-da-índia (‘laranja’, ‘verde’, ‘Rosso’ e ‘Gialla’). Os val</w:t>
      </w:r>
      <w:r w:rsidR="00882CE6">
        <w:rPr>
          <w:i w:val="0"/>
          <w:color w:val="auto"/>
          <w:sz w:val="20"/>
          <w:szCs w:val="20"/>
        </w:rPr>
        <w:t>ores representam uma média de 30</w:t>
      </w:r>
      <w:r w:rsidRPr="006C2067">
        <w:rPr>
          <w:i w:val="0"/>
          <w:color w:val="auto"/>
          <w:sz w:val="20"/>
          <w:szCs w:val="20"/>
        </w:rPr>
        <w:t xml:space="preserve"> amostras por cultivar. Barras com a mesma letra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05).</w:t>
      </w:r>
      <w:bookmarkEnd w:id="290"/>
    </w:p>
    <w:p w14:paraId="143A2974" w14:textId="77777777" w:rsidR="000A77F2" w:rsidRDefault="000A77F2" w:rsidP="000A77F2">
      <w:pPr>
        <w:rPr>
          <w:rFonts w:eastAsiaTheme="minorHAnsi"/>
        </w:rPr>
      </w:pPr>
    </w:p>
    <w:p w14:paraId="16550A6E" w14:textId="77777777" w:rsidR="000A77F2" w:rsidRPr="000A77F2" w:rsidRDefault="000A77F2" w:rsidP="000A77F2">
      <w:pPr>
        <w:keepNext/>
        <w:keepLines/>
        <w:spacing w:before="40" w:after="0"/>
        <w:outlineLvl w:val="3"/>
        <w:rPr>
          <w:rFonts w:eastAsiaTheme="minorHAnsi"/>
          <w:iCs/>
          <w:color w:val="auto"/>
          <w:lang w:eastAsia="en-US"/>
        </w:rPr>
      </w:pPr>
      <w:bookmarkStart w:id="291" w:name="_Toc479154862"/>
      <w:r w:rsidRPr="000A77F2">
        <w:rPr>
          <w:rFonts w:eastAsiaTheme="minorHAnsi"/>
          <w:iCs/>
          <w:color w:val="auto"/>
          <w:lang w:eastAsia="en-US"/>
        </w:rPr>
        <w:t>3.1.1.5 Hue (h°)</w:t>
      </w:r>
      <w:bookmarkEnd w:id="291"/>
    </w:p>
    <w:p w14:paraId="577DD5C8" w14:textId="77777777" w:rsidR="000A77F2" w:rsidRPr="000A77F2" w:rsidRDefault="000A77F2" w:rsidP="000A77F2">
      <w:pPr>
        <w:rPr>
          <w:rFonts w:eastAsiaTheme="minorHAnsi"/>
          <w:lang w:eastAsia="en-US"/>
        </w:rPr>
      </w:pPr>
    </w:p>
    <w:p w14:paraId="117F3FDD" w14:textId="2F36F976"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O hue (h°) é o ângulo formado pelos parâmetros a* e b* que nos indicam a tonalidade da cor do fruto (Trigo</w:t>
      </w:r>
      <w:r w:rsidR="000A5C28">
        <w:rPr>
          <w:rFonts w:eastAsiaTheme="minorHAnsi"/>
          <w:color w:val="auto"/>
          <w:lang w:eastAsia="en-US"/>
        </w:rPr>
        <w:t xml:space="preserve"> et al., 2012). Conforme o â</w:t>
      </w:r>
      <w:r w:rsidRPr="000A77F2">
        <w:rPr>
          <w:rFonts w:eastAsiaTheme="minorHAnsi"/>
          <w:color w:val="auto"/>
          <w:lang w:eastAsia="en-US"/>
        </w:rPr>
        <w:t>ngulo</w:t>
      </w:r>
      <w:proofErr w:type="gramStart"/>
      <w:r w:rsidR="00CA71F2">
        <w:rPr>
          <w:rFonts w:eastAsiaTheme="minorHAnsi"/>
          <w:color w:val="auto"/>
          <w:lang w:eastAsia="en-US"/>
        </w:rPr>
        <w:t>,</w:t>
      </w:r>
      <w:proofErr w:type="gramEnd"/>
      <w:r w:rsidRPr="000A77F2">
        <w:rPr>
          <w:rFonts w:eastAsiaTheme="minorHAnsi"/>
          <w:color w:val="auto"/>
          <w:lang w:eastAsia="en-US"/>
        </w:rPr>
        <w:t xml:space="preserve"> é definida uma cor h=0°</w:t>
      </w:r>
      <w:r w:rsidR="000A5C28">
        <w:rPr>
          <w:rFonts w:eastAsiaTheme="minorHAnsi"/>
          <w:color w:val="auto"/>
          <w:lang w:eastAsia="en-US"/>
        </w:rPr>
        <w:t xml:space="preserve"> </w:t>
      </w:r>
      <w:r w:rsidRPr="000A77F2">
        <w:rPr>
          <w:rFonts w:eastAsiaTheme="minorHAnsi"/>
          <w:color w:val="auto"/>
          <w:lang w:eastAsia="en-US"/>
        </w:rPr>
        <w:t>corresponde à cor vermelha, h=90° corresponde à cor amarela, h= 180° corresponde a cor verde e h=270° corresponde à cor azul (Almeida, 2004).</w:t>
      </w:r>
    </w:p>
    <w:p w14:paraId="59C1AB78" w14:textId="33C28F29"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De entre os diferentes ecótipos/cultivares o que apresentou uma saturação de cor superior foi o ‘verde’, seguiu-o</w:t>
      </w:r>
      <w:r w:rsidR="009A2884">
        <w:rPr>
          <w:rFonts w:eastAsiaTheme="minorHAnsi"/>
          <w:color w:val="auto"/>
          <w:lang w:eastAsia="en-US"/>
        </w:rPr>
        <w:t xml:space="preserve"> o</w:t>
      </w:r>
      <w:r w:rsidRPr="000A77F2">
        <w:rPr>
          <w:rFonts w:eastAsiaTheme="minorHAnsi"/>
          <w:color w:val="auto"/>
          <w:lang w:eastAsia="en-US"/>
        </w:rPr>
        <w:t xml:space="preserve"> ecótipo ‘laranja’</w:t>
      </w:r>
      <w:r w:rsidR="009A2884">
        <w:rPr>
          <w:rFonts w:eastAsiaTheme="minorHAnsi"/>
          <w:color w:val="auto"/>
          <w:lang w:eastAsia="en-US"/>
        </w:rPr>
        <w:t>,</w:t>
      </w:r>
      <w:r w:rsidRPr="000A77F2">
        <w:rPr>
          <w:rFonts w:eastAsiaTheme="minorHAnsi"/>
          <w:color w:val="auto"/>
          <w:lang w:eastAsia="en-US"/>
        </w:rPr>
        <w:t xml:space="preserve"> a cultivar ‘Gialla’ e </w:t>
      </w:r>
      <w:proofErr w:type="gramStart"/>
      <w:r w:rsidRPr="000A77F2">
        <w:rPr>
          <w:rFonts w:eastAsiaTheme="minorHAnsi"/>
          <w:color w:val="auto"/>
          <w:lang w:eastAsia="en-US"/>
        </w:rPr>
        <w:t>‘Rosso’</w:t>
      </w:r>
      <w:r w:rsidR="00157020">
        <w:rPr>
          <w:rFonts w:eastAsiaTheme="minorHAnsi"/>
          <w:color w:val="auto"/>
          <w:lang w:eastAsia="en-US"/>
        </w:rPr>
        <w:t>(Figura</w:t>
      </w:r>
      <w:proofErr w:type="gramEnd"/>
      <w:r w:rsidR="00157020">
        <w:rPr>
          <w:rFonts w:eastAsiaTheme="minorHAnsi"/>
          <w:color w:val="auto"/>
          <w:lang w:eastAsia="en-US"/>
        </w:rPr>
        <w:t xml:space="preserve"> 15)</w:t>
      </w:r>
      <w:r w:rsidRPr="000A77F2">
        <w:rPr>
          <w:rFonts w:eastAsiaTheme="minorHAnsi"/>
          <w:color w:val="auto"/>
          <w:lang w:eastAsia="en-US"/>
        </w:rPr>
        <w:t>. Estes valores de hue revelaram ser significativamente diferentes entre todas as cultivares</w:t>
      </w:r>
      <w:r w:rsidR="005332B9">
        <w:rPr>
          <w:rFonts w:eastAsiaTheme="minorHAnsi"/>
          <w:color w:val="auto"/>
          <w:lang w:eastAsia="en-US"/>
        </w:rPr>
        <w:t xml:space="preserve"> e ecótipos</w:t>
      </w:r>
      <w:r w:rsidR="00157020">
        <w:rPr>
          <w:rFonts w:eastAsiaTheme="minorHAnsi"/>
          <w:color w:val="auto"/>
          <w:lang w:eastAsia="en-US"/>
        </w:rPr>
        <w:t xml:space="preserve"> (</w:t>
      </w:r>
      <w:proofErr w:type="gramStart"/>
      <w:r w:rsidR="00157020">
        <w:rPr>
          <w:rFonts w:eastAsiaTheme="minorHAnsi"/>
          <w:color w:val="auto"/>
          <w:lang w:eastAsia="en-US"/>
        </w:rPr>
        <w:t>p&lt;0.</w:t>
      </w:r>
      <w:proofErr w:type="gramEnd"/>
      <w:r w:rsidR="00157020">
        <w:rPr>
          <w:rFonts w:eastAsiaTheme="minorHAnsi"/>
          <w:color w:val="auto"/>
          <w:lang w:eastAsia="en-US"/>
        </w:rPr>
        <w:t>05).</w:t>
      </w:r>
    </w:p>
    <w:p w14:paraId="75DBFE8C" w14:textId="77777777" w:rsidR="000A77F2" w:rsidRDefault="000A77F2" w:rsidP="000A77F2">
      <w:pPr>
        <w:keepNext/>
      </w:pPr>
      <w:r>
        <w:rPr>
          <w:noProof/>
        </w:rPr>
        <w:lastRenderedPageBreak/>
        <w:drawing>
          <wp:inline distT="0" distB="0" distL="0" distR="0" wp14:anchorId="153889AC" wp14:editId="35063991">
            <wp:extent cx="5181600" cy="2743200"/>
            <wp:effectExtent l="0" t="0" r="0" b="0"/>
            <wp:docPr id="21" name="Gráfico 21">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3C1268A" w14:textId="09C429C6" w:rsidR="000A77F2" w:rsidRPr="000A77F2" w:rsidRDefault="000A77F2" w:rsidP="00676F1F">
      <w:pPr>
        <w:pStyle w:val="Legenda"/>
        <w:ind w:right="-1"/>
        <w:rPr>
          <w:color w:val="auto"/>
          <w:sz w:val="20"/>
          <w:szCs w:val="20"/>
        </w:rPr>
      </w:pPr>
      <w:bookmarkStart w:id="292" w:name="_Toc479333890"/>
      <w:r>
        <w:t xml:space="preserve">Figura </w:t>
      </w:r>
      <w:r w:rsidR="00805B44">
        <w:fldChar w:fldCharType="begin"/>
      </w:r>
      <w:r w:rsidR="00805B44">
        <w:instrText xml:space="preserve"> SEQ Figura \* ARABIC </w:instrText>
      </w:r>
      <w:r w:rsidR="00805B44">
        <w:fldChar w:fldCharType="separate"/>
      </w:r>
      <w:r w:rsidR="005F28B4">
        <w:rPr>
          <w:noProof/>
        </w:rPr>
        <w:t>15</w:t>
      </w:r>
      <w:r w:rsidR="00805B44">
        <w:rPr>
          <w:noProof/>
        </w:rPr>
        <w:fldChar w:fldCharType="end"/>
      </w:r>
      <w:r w:rsidR="006C2067">
        <w:t xml:space="preserve"> </w:t>
      </w:r>
      <w:r w:rsidRPr="000A77F2">
        <w:rPr>
          <w:color w:val="auto"/>
        </w:rPr>
        <w:t xml:space="preserve">– </w:t>
      </w:r>
      <w:r w:rsidRPr="006C2067">
        <w:rPr>
          <w:i w:val="0"/>
          <w:color w:val="auto"/>
        </w:rPr>
        <w:t xml:space="preserve">Hue </w:t>
      </w:r>
      <w:r w:rsidRPr="006C2067">
        <w:rPr>
          <w:i w:val="0"/>
          <w:color w:val="auto"/>
          <w:sz w:val="20"/>
          <w:szCs w:val="20"/>
        </w:rPr>
        <w:t>dos frutos de quatro diferentes ecótipos/cultivares do figo-da-índia (‘laranja’, ‘verde’, ‘Rosso’ e ‘Gialla’). Os val</w:t>
      </w:r>
      <w:r w:rsidR="00882CE6">
        <w:rPr>
          <w:i w:val="0"/>
          <w:color w:val="auto"/>
          <w:sz w:val="20"/>
          <w:szCs w:val="20"/>
        </w:rPr>
        <w:t>ores representam uma média de 30</w:t>
      </w:r>
      <w:r w:rsidRPr="006C2067">
        <w:rPr>
          <w:i w:val="0"/>
          <w:color w:val="auto"/>
          <w:sz w:val="20"/>
          <w:szCs w:val="20"/>
        </w:rPr>
        <w:t xml:space="preserve"> amostras por cultivar. Barras com a mesma letra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05).</w:t>
      </w:r>
      <w:bookmarkEnd w:id="292"/>
    </w:p>
    <w:p w14:paraId="73F04256" w14:textId="77777777" w:rsidR="000A77F2" w:rsidRDefault="000A77F2" w:rsidP="000A77F2">
      <w:pPr>
        <w:pStyle w:val="Legenda"/>
        <w:rPr>
          <w:rFonts w:eastAsiaTheme="minorHAnsi"/>
        </w:rPr>
      </w:pPr>
    </w:p>
    <w:p w14:paraId="632DE503" w14:textId="77777777" w:rsidR="000A77F2" w:rsidRPr="000A77F2" w:rsidRDefault="000A77F2" w:rsidP="000A77F2">
      <w:pPr>
        <w:keepNext/>
        <w:keepLines/>
        <w:spacing w:before="40" w:after="0"/>
        <w:outlineLvl w:val="3"/>
        <w:rPr>
          <w:rFonts w:eastAsiaTheme="minorHAnsi"/>
          <w:iCs/>
          <w:color w:val="auto"/>
          <w:lang w:eastAsia="en-US"/>
        </w:rPr>
      </w:pPr>
      <w:bookmarkStart w:id="293" w:name="_Toc479154863"/>
      <w:r w:rsidRPr="000A77F2">
        <w:rPr>
          <w:rFonts w:eastAsiaTheme="minorHAnsi"/>
          <w:iCs/>
          <w:color w:val="auto"/>
          <w:lang w:eastAsia="en-US"/>
        </w:rPr>
        <w:t>3.1.1.6 Croma (C*)</w:t>
      </w:r>
      <w:bookmarkEnd w:id="293"/>
    </w:p>
    <w:p w14:paraId="72B78305" w14:textId="77777777" w:rsidR="000A77F2" w:rsidRPr="000A77F2" w:rsidRDefault="000A77F2" w:rsidP="000A77F2">
      <w:pPr>
        <w:rPr>
          <w:rFonts w:eastAsiaTheme="minorHAnsi"/>
          <w:lang w:eastAsia="en-US"/>
        </w:rPr>
      </w:pPr>
    </w:p>
    <w:p w14:paraId="052A5C58" w14:textId="4F2BDA70"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 xml:space="preserve">O Croma representa a saturação ou intensidade da cor como sendo um desvio a partir do ponto cinza no eixo L* </w:t>
      </w:r>
      <w:r w:rsidRPr="000A77F2">
        <w:rPr>
          <w:rFonts w:eastAsiaTheme="minorHAnsi"/>
          <w:color w:val="auto"/>
          <w:lang w:eastAsia="en-US"/>
        </w:rPr>
        <w:fldChar w:fldCharType="begin" w:fldLock="1"/>
      </w:r>
      <w:r w:rsidR="00BD1ECB">
        <w:rPr>
          <w:rFonts w:eastAsiaTheme="minorHAnsi"/>
          <w:color w:val="auto"/>
          <w:lang w:eastAsia="en-US"/>
        </w:rPr>
        <w:instrText>ADDIN CSL_CITATION { "citationItems" : [ { "id" : "ITEM-1", "itemData" : { "abstract" : "Pastagens Degradadas; NDVI", "author" : [ { "dropping-particle" : "", "family" : "Neiro", "given" : "Everton da Silva", "non-dropping-particle" : "", "parse-names" : false, "suffix" : "" }, { "dropping-particle" : "", "family" : "Nanni", "given" : "Marcus Rafael", "non-dropping-particle" : "", "parse-names" : false, "suffix" : "" }, { "dropping-particle" : "", "family" : "Romagnoli", "given" : "Franciele", "non-dropping-particle" : "", "parse-names" : false, "suffix" : "" }, { "dropping-particle" : "", "family" : "Campos", "given" : "Rafael Moreno", "non-dropping-particle" : "", "parse-names" : false, "suffix" : "" }, { "dropping-particle" : "", "family" : "Cezar", "given" : "Everson", "non-dropping-particle" : "", "parse-names" : false, "suffix" : "" }, { "dropping-particle" : "", "family" : "Chicati", "given" : "Marcelo Luis", "non-dropping-particle" : "", "parse-names" : false, "suffix" : "" }, { "dropping-particle" : "de", "family" : "Oliveira", "given" : "Roney Berti", "non-dropping-particle" : "", "parse-names" : false, "suffix" : "" } ], "container-title" : "Anais XVI Simp\u00f3sio Brasileiro de Sensoriamento Remoto", "id" : "ITEM-1", "issued" : { "date-parts" : [ [ "2013" ] ] }, "page" : "274-281", "title" : "An\u00e1lise de cor para discrimina\u00e7\u00e3o de seis variedades de cana-de-a\u00e7ucar em quatro \u00e9pocas de colheita no ano", "type" : "article-journal", "volume" : "13 - 18 Ab" }, "uris" : [ "http://www.mendeley.com/documents/?uuid=4ea581e8-e404-40a5-a040-9c14c196e1a6" ] } ], "mendeley" : { "formattedCitation" : "(Neiro et al., 2013)", "plainTextFormattedCitation" : "(Neiro et al., 2013)", "previouslyFormattedCitation" : "(Neiro et al., 2013)" }, "properties" : { "noteIndex" : 0 }, "schema" : "https://github.com/citation-style-language/schema/raw/master/csl-citation.json" }</w:instrText>
      </w:r>
      <w:r w:rsidRPr="000A77F2">
        <w:rPr>
          <w:rFonts w:eastAsiaTheme="minorHAnsi"/>
          <w:color w:val="auto"/>
          <w:lang w:eastAsia="en-US"/>
        </w:rPr>
        <w:fldChar w:fldCharType="separate"/>
      </w:r>
      <w:r w:rsidRPr="000A77F2">
        <w:rPr>
          <w:rFonts w:eastAsiaTheme="minorHAnsi"/>
          <w:noProof/>
          <w:color w:val="auto"/>
          <w:lang w:eastAsia="en-US"/>
        </w:rPr>
        <w:t>(Neiro et al., 2013)</w:t>
      </w:r>
      <w:r w:rsidRPr="000A77F2">
        <w:rPr>
          <w:rFonts w:eastAsiaTheme="minorHAnsi"/>
          <w:color w:val="auto"/>
          <w:lang w:eastAsia="en-US"/>
        </w:rPr>
        <w:fldChar w:fldCharType="end"/>
      </w:r>
      <w:r w:rsidRPr="000A77F2">
        <w:rPr>
          <w:rFonts w:eastAsiaTheme="minorHAnsi"/>
          <w:color w:val="auto"/>
          <w:lang w:eastAsia="en-US"/>
        </w:rPr>
        <w:t>.</w:t>
      </w:r>
    </w:p>
    <w:p w14:paraId="45254375" w14:textId="633EBB03" w:rsid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Como é visível</w:t>
      </w:r>
      <w:r w:rsidR="00157020">
        <w:rPr>
          <w:rFonts w:eastAsiaTheme="minorHAnsi"/>
          <w:color w:val="auto"/>
          <w:lang w:eastAsia="en-US"/>
        </w:rPr>
        <w:t xml:space="preserve"> na Fi</w:t>
      </w:r>
      <w:r w:rsidR="009A2884">
        <w:rPr>
          <w:rFonts w:eastAsiaTheme="minorHAnsi"/>
          <w:color w:val="auto"/>
          <w:lang w:eastAsia="en-US"/>
        </w:rPr>
        <w:t xml:space="preserve">gura 16, o ecótipo ‘verde’ </w:t>
      </w:r>
      <w:r w:rsidRPr="000A77F2">
        <w:rPr>
          <w:rFonts w:eastAsiaTheme="minorHAnsi"/>
          <w:color w:val="auto"/>
          <w:lang w:eastAsia="en-US"/>
        </w:rPr>
        <w:t xml:space="preserve">apresentou uma maior intensidade </w:t>
      </w:r>
      <w:r w:rsidR="00EB46EE">
        <w:rPr>
          <w:rFonts w:eastAsiaTheme="minorHAnsi"/>
          <w:color w:val="auto"/>
          <w:lang w:eastAsia="en-US"/>
        </w:rPr>
        <w:t xml:space="preserve">de </w:t>
      </w:r>
      <w:r w:rsidRPr="000A77F2">
        <w:rPr>
          <w:rFonts w:eastAsiaTheme="minorHAnsi"/>
          <w:color w:val="auto"/>
          <w:lang w:eastAsia="en-US"/>
        </w:rPr>
        <w:t xml:space="preserve">cor dos seus frutos. Seguiram-se os valores do croma do ecótipo laranja, cultivar ‘Gialla’ e por fim com a cor menos intensa a cultivar </w:t>
      </w:r>
      <w:r>
        <w:rPr>
          <w:rFonts w:eastAsiaTheme="minorHAnsi"/>
          <w:color w:val="auto"/>
          <w:lang w:eastAsia="en-US"/>
        </w:rPr>
        <w:t>‘</w:t>
      </w:r>
      <w:r w:rsidRPr="000A77F2">
        <w:rPr>
          <w:rFonts w:eastAsiaTheme="minorHAnsi"/>
          <w:color w:val="auto"/>
          <w:lang w:eastAsia="en-US"/>
        </w:rPr>
        <w:t>Rosso</w:t>
      </w:r>
      <w:r>
        <w:rPr>
          <w:rFonts w:eastAsiaTheme="minorHAnsi"/>
          <w:color w:val="auto"/>
          <w:lang w:eastAsia="en-US"/>
        </w:rPr>
        <w:t>’</w:t>
      </w:r>
      <w:r w:rsidRPr="000A77F2">
        <w:rPr>
          <w:rFonts w:eastAsiaTheme="minorHAnsi"/>
          <w:color w:val="auto"/>
          <w:lang w:eastAsia="en-US"/>
        </w:rPr>
        <w:t xml:space="preserve">. </w:t>
      </w:r>
      <w:r w:rsidR="00330336">
        <w:rPr>
          <w:rFonts w:eastAsiaTheme="minorHAnsi"/>
          <w:color w:val="auto"/>
          <w:lang w:eastAsia="en-US"/>
        </w:rPr>
        <w:t>A</w:t>
      </w:r>
      <w:r w:rsidRPr="000A77F2">
        <w:rPr>
          <w:rFonts w:eastAsiaTheme="minorHAnsi"/>
          <w:color w:val="auto"/>
          <w:lang w:eastAsia="en-US"/>
        </w:rPr>
        <w:t xml:space="preserve"> an</w:t>
      </w:r>
      <w:r w:rsidR="00622322">
        <w:rPr>
          <w:rFonts w:eastAsiaTheme="minorHAnsi"/>
          <w:color w:val="auto"/>
          <w:lang w:eastAsia="en-US"/>
        </w:rPr>
        <w:t>á</w:t>
      </w:r>
      <w:r w:rsidRPr="000A77F2">
        <w:rPr>
          <w:rFonts w:eastAsiaTheme="minorHAnsi"/>
          <w:color w:val="auto"/>
          <w:lang w:eastAsia="en-US"/>
        </w:rPr>
        <w:t xml:space="preserve">lise estatística </w:t>
      </w:r>
      <w:r w:rsidR="00330336">
        <w:rPr>
          <w:rFonts w:eastAsiaTheme="minorHAnsi"/>
          <w:color w:val="auto"/>
          <w:lang w:eastAsia="en-US"/>
        </w:rPr>
        <w:t>mostrou</w:t>
      </w:r>
      <w:r w:rsidRPr="000A77F2">
        <w:rPr>
          <w:rFonts w:eastAsiaTheme="minorHAnsi"/>
          <w:color w:val="auto"/>
          <w:lang w:eastAsia="en-US"/>
        </w:rPr>
        <w:t xml:space="preserve"> diferenças significativas entre as cultivares (</w:t>
      </w:r>
      <w:proofErr w:type="gramStart"/>
      <w:r w:rsidRPr="000A77F2">
        <w:rPr>
          <w:rFonts w:eastAsiaTheme="minorHAnsi"/>
          <w:color w:val="auto"/>
          <w:lang w:eastAsia="en-US"/>
        </w:rPr>
        <w:t>p&lt;0.</w:t>
      </w:r>
      <w:proofErr w:type="gramEnd"/>
      <w:r w:rsidRPr="000A77F2">
        <w:rPr>
          <w:rFonts w:eastAsiaTheme="minorHAnsi"/>
          <w:color w:val="auto"/>
          <w:lang w:eastAsia="en-US"/>
        </w:rPr>
        <w:t>05), exce</w:t>
      </w:r>
      <w:r w:rsidR="00330336">
        <w:rPr>
          <w:rFonts w:eastAsiaTheme="minorHAnsi"/>
          <w:color w:val="auto"/>
          <w:lang w:eastAsia="en-US"/>
        </w:rPr>
        <w:t>p</w:t>
      </w:r>
      <w:r w:rsidRPr="000A77F2">
        <w:rPr>
          <w:rFonts w:eastAsiaTheme="minorHAnsi"/>
          <w:color w:val="auto"/>
          <w:lang w:eastAsia="en-US"/>
        </w:rPr>
        <w:t xml:space="preserve">to entre ecótipo ‘laranja’ e </w:t>
      </w:r>
      <w:r w:rsidR="00330336">
        <w:rPr>
          <w:rFonts w:eastAsiaTheme="minorHAnsi"/>
          <w:color w:val="auto"/>
          <w:lang w:eastAsia="en-US"/>
        </w:rPr>
        <w:t xml:space="preserve">a cultivar </w:t>
      </w:r>
      <w:r w:rsidRPr="000A77F2">
        <w:rPr>
          <w:rFonts w:eastAsiaTheme="minorHAnsi"/>
          <w:color w:val="auto"/>
          <w:lang w:eastAsia="en-US"/>
        </w:rPr>
        <w:t>‘Gialla’ (p&gt;0.05).</w:t>
      </w:r>
    </w:p>
    <w:p w14:paraId="4199AEC7" w14:textId="77777777" w:rsidR="000A77F2" w:rsidRDefault="000A77F2" w:rsidP="00676F1F">
      <w:pPr>
        <w:keepNext/>
        <w:spacing w:after="160" w:line="360" w:lineRule="auto"/>
        <w:ind w:left="0" w:right="0" w:firstLine="0"/>
        <w:jc w:val="center"/>
      </w:pPr>
      <w:r>
        <w:rPr>
          <w:noProof/>
        </w:rPr>
        <w:lastRenderedPageBreak/>
        <w:drawing>
          <wp:inline distT="0" distB="0" distL="0" distR="0" wp14:anchorId="4ADB3E5A" wp14:editId="57F3D1E5">
            <wp:extent cx="5105400" cy="2743200"/>
            <wp:effectExtent l="0" t="0" r="0" b="0"/>
            <wp:docPr id="22" name="Gráfico 2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FD2E8E0" w14:textId="202738BA" w:rsidR="000A77F2" w:rsidRPr="000A77F2" w:rsidRDefault="000A77F2" w:rsidP="00676F1F">
      <w:pPr>
        <w:pStyle w:val="Legenda"/>
        <w:ind w:right="-1"/>
        <w:rPr>
          <w:rFonts w:eastAsiaTheme="minorHAnsi"/>
        </w:rPr>
      </w:pPr>
      <w:bookmarkStart w:id="294" w:name="_Toc479333891"/>
      <w:r>
        <w:t xml:space="preserve">Figura </w:t>
      </w:r>
      <w:r w:rsidR="00805B44">
        <w:fldChar w:fldCharType="begin"/>
      </w:r>
      <w:r w:rsidR="00805B44">
        <w:instrText xml:space="preserve"> SEQ Figura \* ARABIC </w:instrText>
      </w:r>
      <w:r w:rsidR="00805B44">
        <w:fldChar w:fldCharType="separate"/>
      </w:r>
      <w:r w:rsidR="005F28B4">
        <w:rPr>
          <w:noProof/>
        </w:rPr>
        <w:t>16</w:t>
      </w:r>
      <w:r w:rsidR="00805B44">
        <w:rPr>
          <w:noProof/>
        </w:rPr>
        <w:fldChar w:fldCharType="end"/>
      </w:r>
      <w:r>
        <w:t xml:space="preserve"> - </w:t>
      </w:r>
      <w:r w:rsidRPr="006C2067">
        <w:rPr>
          <w:rFonts w:eastAsiaTheme="minorHAnsi"/>
          <w:i w:val="0"/>
          <w:color w:val="auto"/>
          <w:sz w:val="22"/>
          <w:lang w:eastAsia="en-US"/>
        </w:rPr>
        <w:t xml:space="preserve">Croma (C*) </w:t>
      </w:r>
      <w:r w:rsidRPr="006C2067">
        <w:rPr>
          <w:rFonts w:eastAsiaTheme="minorHAnsi"/>
          <w:i w:val="0"/>
          <w:color w:val="auto"/>
          <w:sz w:val="20"/>
          <w:szCs w:val="20"/>
          <w:lang w:eastAsia="en-US"/>
        </w:rPr>
        <w:t>dos frutos de quatro diferentes ecótipos/cultivares do figo-da-índia (‘laranja’, ‘verde’, ‘Rosso’ e ‘Gialla’). Os val</w:t>
      </w:r>
      <w:r w:rsidR="00882CE6">
        <w:rPr>
          <w:rFonts w:eastAsiaTheme="minorHAnsi"/>
          <w:i w:val="0"/>
          <w:color w:val="auto"/>
          <w:sz w:val="20"/>
          <w:szCs w:val="20"/>
          <w:lang w:eastAsia="en-US"/>
        </w:rPr>
        <w:t>ores representam uma média de 30</w:t>
      </w:r>
      <w:r w:rsidRPr="006C2067">
        <w:rPr>
          <w:rFonts w:eastAsiaTheme="minorHAnsi"/>
          <w:i w:val="0"/>
          <w:color w:val="auto"/>
          <w:sz w:val="20"/>
          <w:szCs w:val="20"/>
          <w:lang w:eastAsia="en-US"/>
        </w:rPr>
        <w:t xml:space="preserve"> amostras por cultivar. Barras com a mesma letra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w:t>
      </w:r>
      <w:bookmarkEnd w:id="294"/>
    </w:p>
    <w:p w14:paraId="193CB863" w14:textId="77777777" w:rsidR="000A77F2" w:rsidRPr="000A77F2" w:rsidRDefault="000A77F2" w:rsidP="000A77F2">
      <w:pPr>
        <w:rPr>
          <w:rFonts w:eastAsiaTheme="minorHAnsi"/>
          <w:lang w:eastAsia="en-US"/>
        </w:rPr>
      </w:pPr>
    </w:p>
    <w:p w14:paraId="497A6DBB" w14:textId="77777777" w:rsidR="000A77F2" w:rsidRPr="000A77F2" w:rsidRDefault="000A77F2" w:rsidP="000A77F2">
      <w:pPr>
        <w:pStyle w:val="Cabealho4"/>
        <w:rPr>
          <w:rFonts w:ascii="Times New Roman" w:hAnsi="Times New Roman" w:cs="Times New Roman"/>
          <w:i w:val="0"/>
          <w:color w:val="auto"/>
          <w:lang w:eastAsia="en-US"/>
        </w:rPr>
      </w:pPr>
      <w:bookmarkStart w:id="295" w:name="_Toc479154864"/>
      <w:r w:rsidRPr="000A77F2">
        <w:rPr>
          <w:rFonts w:ascii="Times New Roman" w:hAnsi="Times New Roman" w:cs="Times New Roman"/>
          <w:i w:val="0"/>
          <w:color w:val="auto"/>
          <w:lang w:eastAsia="en-US"/>
        </w:rPr>
        <w:t>3.1.1.7 Firmeza</w:t>
      </w:r>
      <w:bookmarkEnd w:id="295"/>
    </w:p>
    <w:p w14:paraId="78D06883" w14:textId="77777777" w:rsidR="000A77F2" w:rsidRPr="000A77F2" w:rsidRDefault="000A77F2" w:rsidP="000A77F2">
      <w:pPr>
        <w:rPr>
          <w:rFonts w:eastAsiaTheme="minorHAnsi"/>
          <w:lang w:eastAsia="en-US"/>
        </w:rPr>
      </w:pPr>
    </w:p>
    <w:p w14:paraId="6E4651AA" w14:textId="21D2DFB6"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 xml:space="preserve">A firmeza do fruto revela-nos a maturação e a condição da fruta, bem como a firmeza da polpa nos indica características da qualidade do fruto </w:t>
      </w:r>
      <w:r w:rsidRPr="000A77F2">
        <w:rPr>
          <w:rFonts w:eastAsiaTheme="minorHAnsi"/>
          <w:color w:val="auto"/>
          <w:lang w:eastAsia="en-US"/>
        </w:rPr>
        <w:fldChar w:fldCharType="begin" w:fldLock="1"/>
      </w:r>
      <w:r w:rsidR="00C75BBE">
        <w:rPr>
          <w:rFonts w:eastAsiaTheme="minorHAnsi"/>
          <w:color w:val="auto"/>
          <w:lang w:eastAsia="en-US"/>
        </w:rPr>
        <w:instrText>ADDIN CSL_CITATION { "citationItems" : [ { "id" : "ITEM-1", "itemData" : { "DOI" : "509-663-8181", "author" : [ { "dropping-particle" : "", "family" : "Bramlage", "given" : "William J.", "non-dropping-particle" : "", "parse-names" : false, "suffix" : "" } ], "container-title" : "Post Harvest Pomology Newsletter", "id" : "ITEM-1", "issue" : "3", "issued" : { "date-parts" : [ [ "1983", "8" ] ] }, "publisher-place" : "Washington", "title" : "Measuring Fruit Firmness with a Penetrometer", "type" : "article-journal", "volume" : "1" }, "uris" : [ "http://www.mendeley.com/documents/?uuid=ad0c6432-03fa-4e43-9c35-38c300411c7e" ] }, { "id" : "ITEM-2", "itemData" : { "ISBN" : "94/20", "ISSN" : "00031062", "PMID" : "10361", "abstract" : "Flesh firmness is a characteristic used to indicate fruit quality. Experimental design and data analysis are important when comparing devices that measure fruit firmness. We compared the Effegi penetrometer operated by hand, mounted in a drill press and then operated by hand, and mounted on a motorized drive and operated remotely; the hand-operated {EPT} pressure tester; the Instron with an Effegi probe; and a hand-operated prototype of the twist tester. Devices varied in operator differences and precision. Comparisons between devices were at the within-fruit level of variability and, therefore, more precise than comparisons where different device-operators used different fruit. We demonstrate statistical methods that are appropriate for making the comparisons of interest and discuss the possible cause of differences between operators and between devices. We also discuss how the mechanical properties of the devices may affect results and consider implications for their practical use. In this study, we found the precision of discrimination between soft and hard apples was best using the Instron in 1992, while the Instron and hand-held Effegi penetrometer were comparable in 1991. For kiwifruit, the hand-held Effegi penetrometer consistently gave the most precise measurements of softening in 1991, while the twist test was the most precise in 1992.", "author" : [ { "dropping-particle" : "", "family" : "Harker", "given" : "F R", "non-dropping-particle" : "", "parse-names" : false, "suffix" : "" }, { "dropping-particle" : "", "family" : "Maindonald", "given" : "J H", "non-dropping-particle" : "", "parse-names" : false, "suffix" : "" }, { "dropping-particle" : "", "family" : "Jackson", "given" : "P J", "non-dropping-particle" : "", "parse-names" : false, "suffix" : "" } ], "container-title" : "Journal of the American Society for Horticultural Science", "id" : "ITEM-2", "issue" : "5", "issued" : { "date-parts" : [ [ "1996" ] ] }, "page" : "927-936", "title" : "Penetrometer Measurement of Apple and Kiwifruit Firmness: Operator and Instrument Differences", "type" : "article-journal", "volume" : "121" }, "uris" : [ "http://www.mendeley.com/documents/?uuid=c10cf006-c602-4b9d-a06a-f2ad07b774c9" ] } ], "mendeley" : { "formattedCitation" : "(Bramlage, 1983; Harker, Maindonald, &amp; Jackson, 1996)", "manualFormatting" : "(Bramlage, 1983; Harker et al., 1996)", "plainTextFormattedCitation" : "(Bramlage, 1983; Harker, Maindonald, &amp; Jackson, 1996)", "previouslyFormattedCitation" : "(Bramlage, 1983; Harker, Maindonald, &amp; Jackson, 1996)" }, "properties" : { "noteIndex" : 0 }, "schema" : "https://github.com/citation-style-language/schema/raw/master/csl-citation.json" }</w:instrText>
      </w:r>
      <w:r w:rsidRPr="000A77F2">
        <w:rPr>
          <w:rFonts w:eastAsiaTheme="minorHAnsi"/>
          <w:color w:val="auto"/>
          <w:lang w:eastAsia="en-US"/>
        </w:rPr>
        <w:fldChar w:fldCharType="separate"/>
      </w:r>
      <w:r w:rsidRPr="000A77F2">
        <w:rPr>
          <w:rFonts w:eastAsiaTheme="minorHAnsi"/>
          <w:noProof/>
          <w:color w:val="auto"/>
          <w:lang w:eastAsia="en-US"/>
        </w:rPr>
        <w:t>(Bramlage, 198</w:t>
      </w:r>
      <w:r w:rsidR="006F173D">
        <w:rPr>
          <w:rFonts w:eastAsiaTheme="minorHAnsi"/>
          <w:noProof/>
          <w:color w:val="auto"/>
          <w:lang w:eastAsia="en-US"/>
        </w:rPr>
        <w:t>3; Harker et al.</w:t>
      </w:r>
      <w:r w:rsidRPr="000A77F2">
        <w:rPr>
          <w:rFonts w:eastAsiaTheme="minorHAnsi"/>
          <w:noProof/>
          <w:color w:val="auto"/>
          <w:lang w:eastAsia="en-US"/>
        </w:rPr>
        <w:t>, 1996)</w:t>
      </w:r>
      <w:r w:rsidRPr="000A77F2">
        <w:rPr>
          <w:rFonts w:eastAsiaTheme="minorHAnsi"/>
          <w:color w:val="auto"/>
          <w:lang w:eastAsia="en-US"/>
        </w:rPr>
        <w:fldChar w:fldCharType="end"/>
      </w:r>
      <w:r w:rsidRPr="000A77F2">
        <w:rPr>
          <w:rFonts w:eastAsiaTheme="minorHAnsi"/>
          <w:color w:val="auto"/>
          <w:lang w:eastAsia="en-US"/>
        </w:rPr>
        <w:t>. Com seria de esperar existiu uma diferença na firmeza com casca e na firmeza sem casca em todas as cultivar</w:t>
      </w:r>
      <w:r w:rsidR="00EB46EE">
        <w:rPr>
          <w:rFonts w:eastAsiaTheme="minorHAnsi"/>
          <w:color w:val="auto"/>
          <w:lang w:eastAsia="en-US"/>
        </w:rPr>
        <w:t>es. A cultivar ‘Rosso’</w:t>
      </w:r>
      <w:r w:rsidRPr="000A77F2">
        <w:rPr>
          <w:rFonts w:eastAsiaTheme="minorHAnsi"/>
          <w:color w:val="auto"/>
          <w:lang w:eastAsia="en-US"/>
        </w:rPr>
        <w:t xml:space="preserve"> apresentou significativamente maior firmeza com casca (54.74 ± 1.54 N), seguiram-se os ecótipos/cultivares ‘verde’, ‘laranja’ e ‘Gialla’ (43.27 ± 1.03 N, 42.58 ± 1.68 N e 42.53 ± 1.60 N, respetiva</w:t>
      </w:r>
      <w:r w:rsidR="00157020">
        <w:rPr>
          <w:rFonts w:eastAsiaTheme="minorHAnsi"/>
          <w:color w:val="auto"/>
          <w:lang w:eastAsia="en-US"/>
        </w:rPr>
        <w:t>mente) com valores semelhantes (Figura 17).</w:t>
      </w:r>
    </w:p>
    <w:p w14:paraId="1AB7CC23" w14:textId="57206C8C"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Ao contrário do que ocorreu no figo com casca, no figo sem casca verificou-se a menor firmeza n</w:t>
      </w:r>
      <w:r w:rsidR="00114D09">
        <w:rPr>
          <w:rFonts w:eastAsiaTheme="minorHAnsi"/>
          <w:color w:val="auto"/>
          <w:lang w:eastAsia="en-US"/>
        </w:rPr>
        <w:t>a cultivar ‘Rosso’ (8.81 ± 0.65</w:t>
      </w:r>
      <w:r w:rsidRPr="000A77F2">
        <w:rPr>
          <w:rFonts w:eastAsiaTheme="minorHAnsi"/>
          <w:color w:val="auto"/>
          <w:lang w:eastAsia="en-US"/>
        </w:rPr>
        <w:t xml:space="preserve"> N) com valor significativamente inferior à apresentada pelo</w:t>
      </w:r>
      <w:r w:rsidR="00114D09">
        <w:rPr>
          <w:rFonts w:eastAsiaTheme="minorHAnsi"/>
          <w:color w:val="auto"/>
          <w:lang w:eastAsia="en-US"/>
        </w:rPr>
        <w:t>s ecótipos ‘verde’ (12.6 ± 0.78 N) e ‘laranja’ (12.025 ± 0.55</w:t>
      </w:r>
      <w:r w:rsidRPr="000A77F2">
        <w:rPr>
          <w:rFonts w:eastAsiaTheme="minorHAnsi"/>
          <w:color w:val="auto"/>
          <w:lang w:eastAsia="en-US"/>
        </w:rPr>
        <w:t xml:space="preserve"> N). </w:t>
      </w:r>
      <w:r w:rsidR="00DA258C">
        <w:rPr>
          <w:rFonts w:eastAsiaTheme="minorHAnsi"/>
          <w:color w:val="auto"/>
          <w:lang w:eastAsia="en-US"/>
        </w:rPr>
        <w:t>E</w:t>
      </w:r>
      <w:r w:rsidR="00DA258C" w:rsidRPr="000A77F2">
        <w:rPr>
          <w:rFonts w:eastAsiaTheme="minorHAnsi"/>
          <w:color w:val="auto"/>
          <w:lang w:eastAsia="en-US"/>
        </w:rPr>
        <w:t xml:space="preserve">stes </w:t>
      </w:r>
      <w:r w:rsidRPr="000A77F2">
        <w:rPr>
          <w:rFonts w:eastAsiaTheme="minorHAnsi"/>
          <w:color w:val="auto"/>
          <w:lang w:eastAsia="en-US"/>
        </w:rPr>
        <w:t xml:space="preserve">valores encontram-se de acordo </w:t>
      </w:r>
      <w:r w:rsidR="00DD3B1C">
        <w:rPr>
          <w:rFonts w:eastAsiaTheme="minorHAnsi"/>
          <w:color w:val="auto"/>
          <w:lang w:eastAsia="en-US"/>
        </w:rPr>
        <w:t xml:space="preserve">com </w:t>
      </w:r>
      <w:r w:rsidRPr="000A77F2">
        <w:rPr>
          <w:rFonts w:eastAsiaTheme="minorHAnsi"/>
          <w:color w:val="auto"/>
          <w:lang w:eastAsia="en-US"/>
        </w:rPr>
        <w:t>o</w:t>
      </w:r>
      <w:r w:rsidR="00DA258C">
        <w:rPr>
          <w:rFonts w:eastAsiaTheme="minorHAnsi"/>
          <w:color w:val="auto"/>
          <w:lang w:eastAsia="en-US"/>
        </w:rPr>
        <w:t>s referidos por</w:t>
      </w:r>
      <w:r w:rsidRPr="000A77F2">
        <w:rPr>
          <w:rFonts w:eastAsiaTheme="minorHAnsi"/>
          <w:color w:val="auto"/>
          <w:lang w:eastAsia="en-US"/>
        </w:rPr>
        <w:t xml:space="preserve"> </w:t>
      </w:r>
      <w:r w:rsidR="00DA258C" w:rsidRPr="000A77F2">
        <w:rPr>
          <w:rFonts w:eastAsiaTheme="minorHAnsi"/>
          <w:color w:val="auto"/>
          <w:lang w:eastAsia="en-US"/>
        </w:rPr>
        <w:t xml:space="preserve">Valdez-Fragoso </w:t>
      </w:r>
      <w:r w:rsidR="00DA258C" w:rsidRPr="00DA258C">
        <w:rPr>
          <w:rFonts w:eastAsiaTheme="minorHAnsi"/>
          <w:color w:val="auto"/>
          <w:lang w:eastAsia="en-US"/>
        </w:rPr>
        <w:t xml:space="preserve">et. </w:t>
      </w:r>
      <w:proofErr w:type="gramStart"/>
      <w:r w:rsidR="00DA258C" w:rsidRPr="00DA258C">
        <w:rPr>
          <w:rFonts w:eastAsiaTheme="minorHAnsi"/>
          <w:color w:val="auto"/>
          <w:lang w:eastAsia="en-US"/>
        </w:rPr>
        <w:t>al</w:t>
      </w:r>
      <w:proofErr w:type="gramEnd"/>
      <w:r w:rsidR="00DA258C" w:rsidRPr="00DA258C">
        <w:rPr>
          <w:rFonts w:eastAsiaTheme="minorHAnsi"/>
          <w:color w:val="auto"/>
          <w:lang w:eastAsia="en-US"/>
        </w:rPr>
        <w:t>, (2009)</w:t>
      </w:r>
      <w:r w:rsidRPr="000A77F2">
        <w:rPr>
          <w:rFonts w:eastAsiaTheme="minorHAnsi"/>
          <w:color w:val="auto"/>
          <w:lang w:eastAsia="en-US"/>
        </w:rPr>
        <w:t>. A sua variação pode ser devido a diversos fatores como ao nível de az</w:t>
      </w:r>
      <w:r w:rsidR="001473CE">
        <w:rPr>
          <w:rFonts w:eastAsiaTheme="minorHAnsi"/>
          <w:color w:val="auto"/>
          <w:lang w:eastAsia="en-US"/>
        </w:rPr>
        <w:t>oto que faz</w:t>
      </w:r>
      <w:r w:rsidRPr="000A77F2">
        <w:rPr>
          <w:rFonts w:eastAsiaTheme="minorHAnsi"/>
          <w:color w:val="auto"/>
          <w:lang w:eastAsia="en-US"/>
        </w:rPr>
        <w:t xml:space="preserve"> reduzir a firmeza ao contrário da quantidade de água esta quanto mais existir mais firme pode ficar no entanto se ocorrer uma perda repentina de água esta vai levar ao amolecimento/emurchecimento dos frutos </w:t>
      </w:r>
      <w:r w:rsidRPr="000A77F2">
        <w:rPr>
          <w:rFonts w:eastAsiaTheme="minorHAnsi"/>
          <w:color w:val="auto"/>
          <w:lang w:eastAsia="en-US"/>
        </w:rPr>
        <w:fldChar w:fldCharType="begin" w:fldLock="1"/>
      </w:r>
      <w:r w:rsidR="00C75BBE">
        <w:rPr>
          <w:rFonts w:eastAsiaTheme="minorHAnsi"/>
          <w:color w:val="auto"/>
          <w:lang w:eastAsia="en-US"/>
        </w:rPr>
        <w:instrText>ADDIN CSL_CITATION { "citationItems" : [ { "id" : "ITEM-1", "itemData" : { "DOI" : "509-663-8181", "author" : [ { "dropping-particle" : "", "family" : "Bramlage", "given" : "William J.", "non-dropping-particle" : "", "parse-names" : false, "suffix" : "" } ], "container-title" : "Post Harvest Pomology Newsletter", "id" : "ITEM-1", "issue" : "3", "issued" : { "date-parts" : [ [ "1983", "8" ] ] }, "publisher-place" : "Washington", "title" : "Measuring Fruit Firmness with a Penetrometer", "type" : "article-journal", "volume" : "1" }, "uris" : [ "http://www.mendeley.com/documents/?uuid=ad0c6432-03fa-4e43-9c35-38c300411c7e" ] } ], "mendeley" : { "formattedCitation" : "(Bramlage, 1983)", "plainTextFormattedCitation" : "(Bramlage, 1983)", "previouslyFormattedCitation" : "(Bramlage, 1983)" }, "properties" : { "noteIndex" : 0 }, "schema" : "https://github.com/citation-style-language/schema/raw/master/csl-citation.json" }</w:instrText>
      </w:r>
      <w:r w:rsidRPr="000A77F2">
        <w:rPr>
          <w:rFonts w:eastAsiaTheme="minorHAnsi"/>
          <w:color w:val="auto"/>
          <w:lang w:eastAsia="en-US"/>
        </w:rPr>
        <w:fldChar w:fldCharType="separate"/>
      </w:r>
      <w:r w:rsidRPr="000A77F2">
        <w:rPr>
          <w:rFonts w:eastAsiaTheme="minorHAnsi"/>
          <w:noProof/>
          <w:color w:val="auto"/>
          <w:lang w:eastAsia="en-US"/>
        </w:rPr>
        <w:t>(Bramlage, 1983)</w:t>
      </w:r>
      <w:r w:rsidRPr="000A77F2">
        <w:rPr>
          <w:rFonts w:eastAsiaTheme="minorHAnsi"/>
          <w:color w:val="auto"/>
          <w:lang w:eastAsia="en-US"/>
        </w:rPr>
        <w:fldChar w:fldCharType="end"/>
      </w:r>
      <w:r w:rsidRPr="000A77F2">
        <w:rPr>
          <w:rFonts w:eastAsiaTheme="minorHAnsi"/>
          <w:color w:val="auto"/>
          <w:lang w:eastAsia="en-US"/>
        </w:rPr>
        <w:t xml:space="preserve">. A diferença de firmeza na </w:t>
      </w:r>
      <w:r w:rsidRPr="000A77F2">
        <w:rPr>
          <w:rFonts w:eastAsiaTheme="minorHAnsi"/>
          <w:color w:val="auto"/>
          <w:lang w:eastAsia="en-US"/>
        </w:rPr>
        <w:lastRenderedPageBreak/>
        <w:t>polpa pode estar relacionada com os complexos da parede celular de cada um deles, bem como substâncias pécticas, celuloses, hemiceluloses e com o seu sistema enzimático que envolve poligalacturonases e pectinametilesterases (Sato et al., 2004).</w:t>
      </w:r>
    </w:p>
    <w:p w14:paraId="181F2B6A" w14:textId="77777777" w:rsidR="000A77F2" w:rsidRDefault="000A77F2" w:rsidP="00676F1F">
      <w:pPr>
        <w:keepNext/>
        <w:spacing w:after="160" w:line="360" w:lineRule="auto"/>
        <w:ind w:left="0" w:right="0" w:firstLine="0"/>
        <w:jc w:val="center"/>
      </w:pPr>
      <w:r>
        <w:rPr>
          <w:noProof/>
        </w:rPr>
        <w:drawing>
          <wp:inline distT="0" distB="0" distL="0" distR="0" wp14:anchorId="3FC817CE" wp14:editId="7A461CF6">
            <wp:extent cx="4572000" cy="27432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ED14D08" w14:textId="7CE467B6" w:rsidR="000A77F2" w:rsidRPr="006C2067" w:rsidRDefault="000A77F2" w:rsidP="00676F1F">
      <w:pPr>
        <w:pStyle w:val="Legenda"/>
        <w:ind w:right="-1"/>
        <w:rPr>
          <w:i w:val="0"/>
          <w:color w:val="auto"/>
          <w:sz w:val="20"/>
          <w:szCs w:val="20"/>
        </w:rPr>
      </w:pPr>
      <w:bookmarkStart w:id="296" w:name="_Toc479333892"/>
      <w:r>
        <w:t xml:space="preserve">Figura </w:t>
      </w:r>
      <w:r w:rsidR="00805B44">
        <w:fldChar w:fldCharType="begin"/>
      </w:r>
      <w:r w:rsidR="00805B44">
        <w:instrText xml:space="preserve"> SEQ Figura \* ARABIC </w:instrText>
      </w:r>
      <w:r w:rsidR="00805B44">
        <w:fldChar w:fldCharType="separate"/>
      </w:r>
      <w:r w:rsidR="005F28B4">
        <w:rPr>
          <w:noProof/>
        </w:rPr>
        <w:t>17</w:t>
      </w:r>
      <w:r w:rsidR="00805B44">
        <w:rPr>
          <w:noProof/>
        </w:rPr>
        <w:fldChar w:fldCharType="end"/>
      </w:r>
      <w:r>
        <w:t xml:space="preserve"> - </w:t>
      </w:r>
      <w:r w:rsidRPr="006C2067">
        <w:rPr>
          <w:i w:val="0"/>
          <w:color w:val="auto"/>
        </w:rPr>
        <w:t xml:space="preserve">Firmeza </w:t>
      </w:r>
      <w:r w:rsidRPr="006C2067">
        <w:rPr>
          <w:i w:val="0"/>
          <w:color w:val="auto"/>
          <w:sz w:val="20"/>
          <w:szCs w:val="20"/>
        </w:rPr>
        <w:t>dos frutos de quatro diferentes ecótipos/cultivares do figo-da-índia (‘laranja’, ‘verde’, ‘Rosso’ e ‘Gialla’). Os val</w:t>
      </w:r>
      <w:r w:rsidR="00882CE6">
        <w:rPr>
          <w:i w:val="0"/>
          <w:color w:val="auto"/>
          <w:sz w:val="20"/>
          <w:szCs w:val="20"/>
        </w:rPr>
        <w:t>ores representam uma média de 30</w:t>
      </w:r>
      <w:r w:rsidRPr="006C2067">
        <w:rPr>
          <w:i w:val="0"/>
          <w:color w:val="auto"/>
          <w:sz w:val="20"/>
          <w:szCs w:val="20"/>
        </w:rPr>
        <w:t xml:space="preserve"> amostras por cultivar. Barras com a mesma letra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05).</w:t>
      </w:r>
      <w:bookmarkEnd w:id="296"/>
    </w:p>
    <w:p w14:paraId="3E852FB5" w14:textId="77777777" w:rsidR="000A77F2" w:rsidRDefault="000A77F2" w:rsidP="000A77F2">
      <w:pPr>
        <w:rPr>
          <w:rFonts w:eastAsiaTheme="minorHAnsi"/>
        </w:rPr>
      </w:pPr>
    </w:p>
    <w:p w14:paraId="1683F9B7" w14:textId="77777777" w:rsidR="000A77F2" w:rsidRPr="000A77F2" w:rsidRDefault="000A77F2" w:rsidP="000A77F2">
      <w:pPr>
        <w:pStyle w:val="Cabealho4"/>
        <w:rPr>
          <w:rFonts w:ascii="Times New Roman" w:hAnsi="Times New Roman" w:cs="Times New Roman"/>
          <w:i w:val="0"/>
          <w:color w:val="auto"/>
          <w:lang w:eastAsia="en-US"/>
        </w:rPr>
      </w:pPr>
      <w:bookmarkStart w:id="297" w:name="_Toc479154865"/>
      <w:r w:rsidRPr="000A77F2">
        <w:rPr>
          <w:rFonts w:ascii="Times New Roman" w:hAnsi="Times New Roman" w:cs="Times New Roman"/>
          <w:i w:val="0"/>
          <w:color w:val="auto"/>
          <w:lang w:eastAsia="en-US"/>
        </w:rPr>
        <w:t>3.1.1.8 °Brix</w:t>
      </w:r>
      <w:bookmarkEnd w:id="297"/>
    </w:p>
    <w:p w14:paraId="600F957B" w14:textId="77777777" w:rsidR="000A77F2" w:rsidRPr="000A77F2" w:rsidRDefault="000A77F2" w:rsidP="000A77F2">
      <w:pPr>
        <w:rPr>
          <w:rFonts w:eastAsiaTheme="minorHAnsi"/>
          <w:lang w:eastAsia="en-US"/>
        </w:rPr>
      </w:pPr>
    </w:p>
    <w:p w14:paraId="50E66BC5" w14:textId="77777777" w:rsidR="000A77F2" w:rsidRPr="000A77F2" w:rsidRDefault="000A77F2" w:rsidP="000A77F2">
      <w:pPr>
        <w:spacing w:after="160" w:line="360" w:lineRule="auto"/>
        <w:ind w:left="0" w:right="0" w:firstLine="0"/>
        <w:rPr>
          <w:rFonts w:eastAsiaTheme="minorHAnsi"/>
          <w:color w:val="auto"/>
          <w:lang w:eastAsia="en-US"/>
        </w:rPr>
      </w:pPr>
      <w:r w:rsidRPr="000A77F2">
        <w:rPr>
          <w:rFonts w:eastAsiaTheme="minorHAnsi"/>
          <w:color w:val="auto"/>
          <w:lang w:eastAsia="en-US"/>
        </w:rPr>
        <w:t xml:space="preserve">O </w:t>
      </w:r>
      <w:r w:rsidRPr="000A77F2">
        <w:rPr>
          <w:rFonts w:ascii="Calibri" w:eastAsiaTheme="minorHAnsi" w:hAnsi="Calibri"/>
          <w:color w:val="auto"/>
          <w:lang w:eastAsia="en-US"/>
        </w:rPr>
        <w:t>°</w:t>
      </w:r>
      <w:r w:rsidRPr="000A77F2">
        <w:rPr>
          <w:rFonts w:eastAsiaTheme="minorHAnsi"/>
          <w:color w:val="auto"/>
          <w:lang w:eastAsia="en-US"/>
        </w:rPr>
        <w:t xml:space="preserve">Brix mede a quantidade de sólidos solúveis, como açúcares, ou seja mede o grau de doçura do fruto </w:t>
      </w:r>
      <w:r w:rsidRPr="000A77F2">
        <w:rPr>
          <w:rFonts w:eastAsiaTheme="minorHAnsi"/>
          <w:color w:val="auto"/>
          <w:lang w:eastAsia="en-US"/>
        </w:rPr>
        <w:fldChar w:fldCharType="begin" w:fldLock="1"/>
      </w:r>
      <w:r w:rsidRPr="000A77F2">
        <w:rPr>
          <w:rFonts w:eastAsiaTheme="minorHAnsi"/>
          <w:color w:val="auto"/>
          <w:lang w:eastAsia="en-US"/>
        </w:rPr>
        <w:instrText>ADDIN CSL_CITATION { "citationItems" : [ { "id" : "ITEM-1", "itemData" : { "URL" : "http://appckaki.blogspot.pt/2012/12/o-que-e-grau-brix.html", "accessed" : { "date-parts" : [ [ "2016", "8", "18" ] ] }, "author" : [ { "dropping-particle" : "", "family" : "APPC", "given" : "", "non-dropping-particle" : "", "parse-names" : false, "suffix" : "" } ], "container-title" : "O que \u00e9 o grau Brix?", "id" : "ITEM-1", "issued" : { "date-parts" : [ [ "2012" ] ] }, "title" : "\u00c9 tempo de frutas", "type" : "webpage" }, "uris" : [ "http://www.mendeley.com/documents/?uuid=43651b72-dc8c-4aaf-8609-02826372bdb6" ] } ], "mendeley" : { "formattedCitation" : "(APPC, 2012)", "plainTextFormattedCitation" : "(APPC, 2012)", "previouslyFormattedCitation" : "(APPC, 2012)" }, "properties" : { "noteIndex" : 0 }, "schema" : "https://github.com/citation-style-language/schema/raw/master/csl-citation.json" }</w:instrText>
      </w:r>
      <w:r w:rsidRPr="000A77F2">
        <w:rPr>
          <w:rFonts w:eastAsiaTheme="minorHAnsi"/>
          <w:color w:val="auto"/>
          <w:lang w:eastAsia="en-US"/>
        </w:rPr>
        <w:fldChar w:fldCharType="separate"/>
      </w:r>
      <w:r w:rsidRPr="000A77F2">
        <w:rPr>
          <w:rFonts w:eastAsiaTheme="minorHAnsi"/>
          <w:noProof/>
          <w:color w:val="auto"/>
          <w:lang w:eastAsia="en-US"/>
        </w:rPr>
        <w:t>(APPC, 2012)</w:t>
      </w:r>
      <w:r w:rsidRPr="000A77F2">
        <w:rPr>
          <w:rFonts w:eastAsiaTheme="minorHAnsi"/>
          <w:color w:val="auto"/>
          <w:lang w:eastAsia="en-US"/>
        </w:rPr>
        <w:fldChar w:fldCharType="end"/>
      </w:r>
      <w:r w:rsidRPr="000A77F2">
        <w:rPr>
          <w:rFonts w:eastAsiaTheme="minorHAnsi"/>
          <w:color w:val="auto"/>
          <w:lang w:eastAsia="en-US"/>
        </w:rPr>
        <w:t>.</w:t>
      </w:r>
    </w:p>
    <w:p w14:paraId="32C14779" w14:textId="7E2FD3C3" w:rsidR="000A77F2" w:rsidRDefault="00157020" w:rsidP="000A77F2">
      <w:pPr>
        <w:spacing w:after="160" w:line="360" w:lineRule="auto"/>
        <w:ind w:left="0" w:right="0" w:firstLine="0"/>
        <w:rPr>
          <w:rFonts w:eastAsiaTheme="minorHAnsi"/>
          <w:color w:val="auto"/>
          <w:lang w:eastAsia="en-US"/>
        </w:rPr>
      </w:pPr>
      <w:r>
        <w:rPr>
          <w:rFonts w:eastAsiaTheme="minorHAnsi"/>
          <w:color w:val="auto"/>
          <w:lang w:eastAsia="en-US"/>
        </w:rPr>
        <w:t>Os valores apresentados na F</w:t>
      </w:r>
      <w:r w:rsidR="000A77F2" w:rsidRPr="000A77F2">
        <w:rPr>
          <w:rFonts w:eastAsiaTheme="minorHAnsi"/>
          <w:color w:val="auto"/>
          <w:lang w:eastAsia="en-US"/>
        </w:rPr>
        <w:t xml:space="preserve">igura 18 mostram que a cultivar ‘Gialla’ e o ecótipo ‘laranja’ apresentaram um maior grau de </w:t>
      </w:r>
      <w:r w:rsidR="000A77F2" w:rsidRPr="000A77F2">
        <w:rPr>
          <w:rFonts w:eastAsiaTheme="minorHAnsi"/>
          <w:color w:val="auto"/>
          <w:szCs w:val="24"/>
          <w:lang w:eastAsia="en-US"/>
        </w:rPr>
        <w:t>doçura</w:t>
      </w:r>
      <w:r w:rsidR="00DA258C">
        <w:rPr>
          <w:rFonts w:eastAsiaTheme="minorHAnsi"/>
          <w:color w:val="auto"/>
          <w:szCs w:val="24"/>
          <w:lang w:eastAsia="en-US"/>
        </w:rPr>
        <w:t>,</w:t>
      </w:r>
      <w:r w:rsidR="000A77F2" w:rsidRPr="000A77F2">
        <w:rPr>
          <w:rFonts w:eastAsiaTheme="minorHAnsi"/>
          <w:color w:val="auto"/>
          <w:szCs w:val="24"/>
          <w:lang w:eastAsia="en-US"/>
        </w:rPr>
        <w:t xml:space="preserve"> não diferindo significativamente entre</w:t>
      </w:r>
      <w:r w:rsidR="000A77F2" w:rsidRPr="000A77F2">
        <w:rPr>
          <w:rFonts w:eastAsiaTheme="minorHAnsi"/>
          <w:color w:val="auto"/>
          <w:sz w:val="28"/>
          <w:lang w:eastAsia="en-US"/>
        </w:rPr>
        <w:t xml:space="preserve"> </w:t>
      </w:r>
      <w:r w:rsidR="000A77F2" w:rsidRPr="00114D09">
        <w:rPr>
          <w:rFonts w:eastAsiaTheme="minorHAnsi"/>
          <w:color w:val="auto"/>
          <w:szCs w:val="24"/>
          <w:lang w:eastAsia="en-US"/>
        </w:rPr>
        <w:t>eles</w:t>
      </w:r>
      <w:r w:rsidR="000A77F2" w:rsidRPr="000A77F2">
        <w:rPr>
          <w:rFonts w:ascii="Calibri" w:eastAsiaTheme="minorHAnsi" w:hAnsi="Calibri"/>
          <w:color w:val="auto"/>
          <w:lang w:eastAsia="en-US"/>
        </w:rPr>
        <w:t xml:space="preserve">. </w:t>
      </w:r>
      <w:r w:rsidR="00474F8E">
        <w:rPr>
          <w:rFonts w:eastAsiaTheme="minorHAnsi"/>
          <w:color w:val="auto"/>
          <w:lang w:eastAsia="en-US"/>
        </w:rPr>
        <w:t>Todos os</w:t>
      </w:r>
      <w:r w:rsidR="00114D09">
        <w:rPr>
          <w:rFonts w:eastAsiaTheme="minorHAnsi"/>
          <w:color w:val="auto"/>
          <w:lang w:eastAsia="en-US"/>
        </w:rPr>
        <w:t xml:space="preserve"> valores </w:t>
      </w:r>
      <w:r w:rsidR="000A77F2" w:rsidRPr="000A77F2">
        <w:rPr>
          <w:rFonts w:eastAsiaTheme="minorHAnsi"/>
          <w:color w:val="auto"/>
          <w:lang w:eastAsia="en-US"/>
        </w:rPr>
        <w:t xml:space="preserve">estão no intervalo de valores referidos por </w:t>
      </w:r>
      <w:r w:rsidR="000A77F2" w:rsidRPr="000A77F2">
        <w:rPr>
          <w:rFonts w:eastAsiaTheme="minorHAnsi"/>
          <w:color w:val="auto"/>
          <w:lang w:eastAsia="en-US"/>
        </w:rPr>
        <w:fldChar w:fldCharType="begin" w:fldLock="1"/>
      </w:r>
      <w:r w:rsidR="004C0F6E">
        <w:rPr>
          <w:rFonts w:eastAsiaTheme="minorHAnsi"/>
          <w:color w:val="auto"/>
          <w:lang w:eastAsia="en-US"/>
        </w:rPr>
        <w:instrText>ADDIN CSL_CITATION { "citationItems" : [ { "id" : "ITEM-1", "itemData" : { "author" : [ { "dropping-particle" : "", "family" : "S\u00e1enz", "given" : "Carmen", "non-dropping-particle" : "", "parse-names" : false, "suffix" : "" }, { "dropping-particle" : "", "family" : "Sep\u00falveda", "given" : "Elena", "non-dropping-particle" : "", "parse-names" : false, "suffix" : "" } ], "container-title" : "Journal of the Professional Association for Cactus Development", "id" : "ITEM-1", "issued" : { "date-parts" : [ [ "2001" ] ] }, "page" : "3-10", "title" : "Cactus-Pear Juices", "type" : "article-journal", "volume" : "4" }, "uris" : [ "http://www.mendeley.com/documents/?uuid=5c1d5ba9-de66-4ca5-b566-00990b38ded1" ] } ], "mendeley" : { "formattedCitation" : "(S\u00e1enz &amp; Sep\u00falveda, 2001)", "manualFormatting" : "S\u00e1enz &amp; Sep\u00falveda, (2001", "plainTextFormattedCitation" : "(S\u00e1enz &amp; Sep\u00falveda, 2001)", "previouslyFormattedCitation" : "(S\u00e1enz &amp; Sep\u00falveda, 2001)" }, "properties" : { "noteIndex" : 0 }, "schema" : "https://github.com/citation-style-language/schema/raw/master/csl-citation.json" }</w:instrText>
      </w:r>
      <w:r w:rsidR="000A77F2" w:rsidRPr="000A77F2">
        <w:rPr>
          <w:rFonts w:eastAsiaTheme="minorHAnsi"/>
          <w:color w:val="auto"/>
          <w:lang w:eastAsia="en-US"/>
        </w:rPr>
        <w:fldChar w:fldCharType="separate"/>
      </w:r>
      <w:r w:rsidR="000A77F2" w:rsidRPr="000A77F2">
        <w:rPr>
          <w:rFonts w:eastAsiaTheme="minorHAnsi"/>
          <w:noProof/>
          <w:color w:val="auto"/>
          <w:lang w:eastAsia="en-US"/>
        </w:rPr>
        <w:t>Sáenz &amp; Sepúlveda, (2001</w:t>
      </w:r>
      <w:r w:rsidR="000A77F2" w:rsidRPr="000A77F2">
        <w:rPr>
          <w:rFonts w:eastAsiaTheme="minorHAnsi"/>
          <w:color w:val="auto"/>
          <w:lang w:eastAsia="en-US"/>
        </w:rPr>
        <w:fldChar w:fldCharType="end"/>
      </w:r>
      <w:r w:rsidR="000A77F2" w:rsidRPr="000A77F2">
        <w:rPr>
          <w:rFonts w:eastAsiaTheme="minorHAnsi"/>
          <w:color w:val="auto"/>
          <w:lang w:eastAsia="en-US"/>
        </w:rPr>
        <w:t>), que obteve valores para a cultivar laranja de 14.8</w:t>
      </w:r>
      <w:r w:rsidR="000A77F2" w:rsidRPr="000A77F2">
        <w:rPr>
          <w:rFonts w:ascii="Calibri" w:eastAsiaTheme="minorHAnsi" w:hAnsi="Calibri"/>
          <w:color w:val="auto"/>
          <w:lang w:eastAsia="en-US"/>
        </w:rPr>
        <w:t xml:space="preserve">°, </w:t>
      </w:r>
      <w:r w:rsidR="000A77F2" w:rsidRPr="000A77F2">
        <w:rPr>
          <w:rFonts w:eastAsiaTheme="minorHAnsi"/>
          <w:color w:val="auto"/>
          <w:lang w:eastAsia="en-US"/>
        </w:rPr>
        <w:t>para a cultivar verde entre 12</w:t>
      </w:r>
      <w:r w:rsidR="00114D09" w:rsidRPr="000A77F2">
        <w:rPr>
          <w:rFonts w:ascii="Calibri" w:eastAsiaTheme="minorHAnsi" w:hAnsi="Calibri"/>
          <w:color w:val="auto"/>
          <w:lang w:eastAsia="en-US"/>
        </w:rPr>
        <w:t>°</w:t>
      </w:r>
      <w:r w:rsidR="000A77F2" w:rsidRPr="000A77F2">
        <w:rPr>
          <w:rFonts w:eastAsiaTheme="minorHAnsi"/>
          <w:color w:val="auto"/>
          <w:lang w:eastAsia="en-US"/>
        </w:rPr>
        <w:t xml:space="preserve"> e 17</w:t>
      </w:r>
      <w:r w:rsidR="00114D09" w:rsidRPr="000A77F2">
        <w:rPr>
          <w:rFonts w:ascii="Calibri" w:eastAsiaTheme="minorHAnsi" w:hAnsi="Calibri"/>
          <w:color w:val="auto"/>
          <w:lang w:eastAsia="en-US"/>
        </w:rPr>
        <w:t>°</w:t>
      </w:r>
      <w:r w:rsidR="000A77F2" w:rsidRPr="000A77F2">
        <w:rPr>
          <w:rFonts w:eastAsiaTheme="minorHAnsi"/>
          <w:color w:val="auto"/>
          <w:lang w:eastAsia="en-US"/>
        </w:rPr>
        <w:t xml:space="preserve"> e para a cultivar </w:t>
      </w:r>
      <w:r w:rsidR="00114D09">
        <w:rPr>
          <w:rFonts w:eastAsiaTheme="minorHAnsi"/>
          <w:color w:val="auto"/>
          <w:lang w:eastAsia="en-US"/>
        </w:rPr>
        <w:t>‘</w:t>
      </w:r>
      <w:r w:rsidR="000A77F2" w:rsidRPr="000A77F2">
        <w:rPr>
          <w:rFonts w:eastAsiaTheme="minorHAnsi"/>
          <w:color w:val="auto"/>
          <w:lang w:eastAsia="en-US"/>
        </w:rPr>
        <w:t>Rosso</w:t>
      </w:r>
      <w:r w:rsidR="00114D09">
        <w:rPr>
          <w:rFonts w:eastAsiaTheme="minorHAnsi"/>
          <w:color w:val="auto"/>
          <w:lang w:eastAsia="en-US"/>
        </w:rPr>
        <w:t>’</w:t>
      </w:r>
      <w:r w:rsidR="000A77F2" w:rsidRPr="000A77F2">
        <w:rPr>
          <w:rFonts w:eastAsiaTheme="minorHAnsi"/>
          <w:color w:val="auto"/>
          <w:lang w:eastAsia="en-US"/>
        </w:rPr>
        <w:t xml:space="preserve"> entre 12.8</w:t>
      </w:r>
      <w:r w:rsidR="00114D09" w:rsidRPr="000A77F2">
        <w:rPr>
          <w:rFonts w:ascii="Calibri" w:eastAsiaTheme="minorHAnsi" w:hAnsi="Calibri"/>
          <w:color w:val="auto"/>
          <w:lang w:eastAsia="en-US"/>
        </w:rPr>
        <w:t>°</w:t>
      </w:r>
      <w:r w:rsidR="000A77F2" w:rsidRPr="000A77F2">
        <w:rPr>
          <w:rFonts w:eastAsiaTheme="minorHAnsi"/>
          <w:color w:val="auto"/>
          <w:lang w:eastAsia="en-US"/>
        </w:rPr>
        <w:t xml:space="preserve"> – 14.5</w:t>
      </w:r>
      <w:r w:rsidR="00114D09" w:rsidRPr="000A77F2">
        <w:rPr>
          <w:rFonts w:ascii="Calibri" w:eastAsiaTheme="minorHAnsi" w:hAnsi="Calibri"/>
          <w:color w:val="auto"/>
          <w:lang w:eastAsia="en-US"/>
        </w:rPr>
        <w:t>°</w:t>
      </w:r>
      <w:r w:rsidR="000A77F2" w:rsidRPr="000A77F2">
        <w:rPr>
          <w:rFonts w:eastAsiaTheme="minorHAnsi"/>
          <w:color w:val="auto"/>
          <w:lang w:eastAsia="en-US"/>
        </w:rPr>
        <w:t>. Feita a analise estatística pela ANOVA são apresentadas diferenças significativas e</w:t>
      </w:r>
      <w:r w:rsidR="00595FD7">
        <w:rPr>
          <w:rFonts w:eastAsiaTheme="minorHAnsi"/>
          <w:color w:val="auto"/>
          <w:lang w:eastAsia="en-US"/>
        </w:rPr>
        <w:t>ntre cultivares (</w:t>
      </w:r>
      <w:proofErr w:type="gramStart"/>
      <w:r w:rsidR="00595FD7">
        <w:rPr>
          <w:rFonts w:eastAsiaTheme="minorHAnsi"/>
          <w:color w:val="auto"/>
          <w:lang w:eastAsia="en-US"/>
        </w:rPr>
        <w:t>p&lt;0.</w:t>
      </w:r>
      <w:proofErr w:type="gramEnd"/>
      <w:r w:rsidR="00595FD7">
        <w:rPr>
          <w:rFonts w:eastAsiaTheme="minorHAnsi"/>
          <w:color w:val="auto"/>
          <w:lang w:eastAsia="en-US"/>
        </w:rPr>
        <w:t>05</w:t>
      </w:r>
      <w:r w:rsidR="00114D09">
        <w:rPr>
          <w:rFonts w:eastAsiaTheme="minorHAnsi"/>
          <w:color w:val="auto"/>
          <w:lang w:eastAsia="en-US"/>
        </w:rPr>
        <w:t>), onde o ecótipo</w:t>
      </w:r>
      <w:r w:rsidR="000A77F2" w:rsidRPr="000A77F2">
        <w:rPr>
          <w:rFonts w:eastAsiaTheme="minorHAnsi"/>
          <w:color w:val="auto"/>
          <w:lang w:eastAsia="en-US"/>
        </w:rPr>
        <w:t xml:space="preserve"> </w:t>
      </w:r>
      <w:r w:rsidR="00114D09">
        <w:rPr>
          <w:rFonts w:eastAsiaTheme="minorHAnsi"/>
          <w:color w:val="auto"/>
          <w:lang w:eastAsia="en-US"/>
        </w:rPr>
        <w:t>‘</w:t>
      </w:r>
      <w:r w:rsidR="000A77F2" w:rsidRPr="000A77F2">
        <w:rPr>
          <w:rFonts w:eastAsiaTheme="minorHAnsi"/>
          <w:color w:val="auto"/>
          <w:lang w:eastAsia="en-US"/>
        </w:rPr>
        <w:t>laranja</w:t>
      </w:r>
      <w:r w:rsidR="00114D09">
        <w:rPr>
          <w:rFonts w:eastAsiaTheme="minorHAnsi"/>
          <w:color w:val="auto"/>
          <w:lang w:eastAsia="en-US"/>
        </w:rPr>
        <w:t>’</w:t>
      </w:r>
      <w:r w:rsidR="000A77F2">
        <w:rPr>
          <w:rFonts w:eastAsiaTheme="minorHAnsi"/>
          <w:color w:val="auto"/>
          <w:lang w:eastAsia="en-US"/>
        </w:rPr>
        <w:t>,</w:t>
      </w:r>
      <w:r w:rsidR="000A77F2" w:rsidRPr="000A77F2">
        <w:rPr>
          <w:rFonts w:eastAsiaTheme="minorHAnsi"/>
          <w:color w:val="auto"/>
          <w:lang w:eastAsia="en-US"/>
        </w:rPr>
        <w:t xml:space="preserve"> </w:t>
      </w:r>
      <w:r w:rsidR="00114D09">
        <w:rPr>
          <w:rFonts w:eastAsiaTheme="minorHAnsi"/>
          <w:color w:val="auto"/>
          <w:lang w:eastAsia="en-US"/>
        </w:rPr>
        <w:t>‘verde’</w:t>
      </w:r>
      <w:r w:rsidR="000A77F2">
        <w:rPr>
          <w:rFonts w:eastAsiaTheme="minorHAnsi"/>
          <w:color w:val="auto"/>
          <w:lang w:eastAsia="en-US"/>
        </w:rPr>
        <w:t xml:space="preserve"> </w:t>
      </w:r>
      <w:r w:rsidR="00114D09" w:rsidRPr="000A77F2">
        <w:rPr>
          <w:rFonts w:eastAsiaTheme="minorHAnsi"/>
          <w:color w:val="auto"/>
          <w:lang w:eastAsia="en-US"/>
        </w:rPr>
        <w:t xml:space="preserve">e </w:t>
      </w:r>
      <w:r w:rsidR="00114D09">
        <w:rPr>
          <w:rFonts w:eastAsiaTheme="minorHAnsi"/>
          <w:color w:val="auto"/>
          <w:lang w:eastAsia="en-US"/>
        </w:rPr>
        <w:t>cultivar ‘</w:t>
      </w:r>
      <w:r w:rsidR="000A77F2" w:rsidRPr="000A77F2">
        <w:rPr>
          <w:rFonts w:eastAsiaTheme="minorHAnsi"/>
          <w:color w:val="auto"/>
          <w:lang w:eastAsia="en-US"/>
        </w:rPr>
        <w:t>Giall</w:t>
      </w:r>
      <w:r w:rsidR="00595FD7">
        <w:rPr>
          <w:rFonts w:eastAsiaTheme="minorHAnsi"/>
          <w:color w:val="auto"/>
          <w:lang w:eastAsia="en-US"/>
        </w:rPr>
        <w:t>a</w:t>
      </w:r>
      <w:r w:rsidR="00114D09">
        <w:rPr>
          <w:rFonts w:eastAsiaTheme="minorHAnsi"/>
          <w:color w:val="auto"/>
          <w:lang w:eastAsia="en-US"/>
        </w:rPr>
        <w:t>’</w:t>
      </w:r>
      <w:r w:rsidR="00595FD7">
        <w:rPr>
          <w:rFonts w:eastAsiaTheme="minorHAnsi"/>
          <w:color w:val="auto"/>
          <w:lang w:eastAsia="en-US"/>
        </w:rPr>
        <w:t xml:space="preserve"> </w:t>
      </w:r>
      <w:r w:rsidR="000A77F2" w:rsidRPr="000A77F2">
        <w:rPr>
          <w:rFonts w:eastAsiaTheme="minorHAnsi"/>
          <w:color w:val="auto"/>
          <w:lang w:eastAsia="en-US"/>
        </w:rPr>
        <w:t>apresentam valores signif</w:t>
      </w:r>
      <w:r w:rsidR="00114D09">
        <w:rPr>
          <w:rFonts w:eastAsiaTheme="minorHAnsi"/>
          <w:color w:val="auto"/>
          <w:lang w:eastAsia="en-US"/>
        </w:rPr>
        <w:t>icativamente superiores aos da cultivar ‘Rosso’</w:t>
      </w:r>
      <w:r w:rsidR="00595FD7">
        <w:rPr>
          <w:rFonts w:eastAsiaTheme="minorHAnsi"/>
          <w:color w:val="auto"/>
          <w:lang w:eastAsia="en-US"/>
        </w:rPr>
        <w:t>.</w:t>
      </w:r>
    </w:p>
    <w:p w14:paraId="3BDFBDCE" w14:textId="77777777" w:rsidR="00595FD7" w:rsidRDefault="00595FD7" w:rsidP="00676F1F">
      <w:pPr>
        <w:keepNext/>
        <w:spacing w:after="160" w:line="360" w:lineRule="auto"/>
        <w:ind w:left="0" w:right="0" w:firstLine="0"/>
        <w:jc w:val="center"/>
      </w:pPr>
      <w:r w:rsidRPr="00595FD7">
        <w:rPr>
          <w:b/>
          <w:noProof/>
        </w:rPr>
        <w:lastRenderedPageBreak/>
        <w:drawing>
          <wp:inline distT="0" distB="0" distL="0" distR="0" wp14:anchorId="6ED2157B" wp14:editId="4D88F044">
            <wp:extent cx="5105400" cy="2743200"/>
            <wp:effectExtent l="0" t="0" r="0" b="0"/>
            <wp:docPr id="24" name="Gráfico 2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181614E" w14:textId="5CEA7F23" w:rsidR="00595FD7" w:rsidRPr="006C2067" w:rsidRDefault="00595FD7" w:rsidP="00676F1F">
      <w:pPr>
        <w:pStyle w:val="Legenda"/>
        <w:ind w:right="-1"/>
        <w:rPr>
          <w:rFonts w:eastAsiaTheme="minorHAnsi"/>
          <w:i w:val="0"/>
          <w:color w:val="auto"/>
          <w:sz w:val="20"/>
          <w:szCs w:val="20"/>
          <w:lang w:eastAsia="en-US"/>
        </w:rPr>
      </w:pPr>
      <w:bookmarkStart w:id="298" w:name="_Toc479333893"/>
      <w:r>
        <w:t xml:space="preserve">Figura </w:t>
      </w:r>
      <w:r w:rsidR="00805B44">
        <w:fldChar w:fldCharType="begin"/>
      </w:r>
      <w:r w:rsidR="00805B44">
        <w:instrText xml:space="preserve"> SEQ Figura \* ARABIC </w:instrText>
      </w:r>
      <w:r w:rsidR="00805B44">
        <w:fldChar w:fldCharType="separate"/>
      </w:r>
      <w:r w:rsidR="005F28B4">
        <w:rPr>
          <w:noProof/>
        </w:rPr>
        <w:t>18</w:t>
      </w:r>
      <w:r w:rsidR="00805B44">
        <w:rPr>
          <w:noProof/>
        </w:rPr>
        <w:fldChar w:fldCharType="end"/>
      </w:r>
      <w:r>
        <w:t xml:space="preserve"> - </w:t>
      </w:r>
      <w:r w:rsidRPr="006C2067">
        <w:rPr>
          <w:rFonts w:ascii="Calibri" w:eastAsiaTheme="minorHAnsi" w:hAnsi="Calibri"/>
          <w:i w:val="0"/>
          <w:color w:val="auto"/>
          <w:sz w:val="22"/>
          <w:lang w:eastAsia="en-US"/>
        </w:rPr>
        <w:t>°</w:t>
      </w:r>
      <w:r w:rsidRPr="006C2067">
        <w:rPr>
          <w:rFonts w:eastAsiaTheme="minorHAnsi"/>
          <w:i w:val="0"/>
          <w:color w:val="auto"/>
          <w:sz w:val="22"/>
          <w:lang w:eastAsia="en-US"/>
        </w:rPr>
        <w:t xml:space="preserve">Brix </w:t>
      </w:r>
      <w:r w:rsidRPr="006C2067">
        <w:rPr>
          <w:rFonts w:eastAsiaTheme="minorHAnsi"/>
          <w:i w:val="0"/>
          <w:color w:val="auto"/>
          <w:sz w:val="20"/>
          <w:szCs w:val="20"/>
          <w:lang w:eastAsia="en-US"/>
        </w:rPr>
        <w:t>dos frutos de quatro diferentes ecótipos/cultivares do figo-da-índia (‘laranja’, ‘verde’, ‘Rosso’ e ‘Gialla’). Os val</w:t>
      </w:r>
      <w:r w:rsidR="00882CE6">
        <w:rPr>
          <w:rFonts w:eastAsiaTheme="minorHAnsi"/>
          <w:i w:val="0"/>
          <w:color w:val="auto"/>
          <w:sz w:val="20"/>
          <w:szCs w:val="20"/>
          <w:lang w:eastAsia="en-US"/>
        </w:rPr>
        <w:t>ores representam uma média de 30</w:t>
      </w:r>
      <w:r w:rsidRPr="006C2067">
        <w:rPr>
          <w:rFonts w:eastAsiaTheme="minorHAnsi"/>
          <w:i w:val="0"/>
          <w:color w:val="auto"/>
          <w:sz w:val="20"/>
          <w:szCs w:val="20"/>
          <w:lang w:eastAsia="en-US"/>
        </w:rPr>
        <w:t xml:space="preserve"> amostras por cultivar. Barras com a mesma letra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w:t>
      </w:r>
      <w:bookmarkEnd w:id="298"/>
    </w:p>
    <w:p w14:paraId="2B7E9C2B" w14:textId="77777777" w:rsidR="00595FD7" w:rsidRDefault="00595FD7" w:rsidP="00595FD7">
      <w:pPr>
        <w:rPr>
          <w:rFonts w:eastAsiaTheme="minorHAnsi"/>
          <w:lang w:eastAsia="en-US"/>
        </w:rPr>
      </w:pPr>
    </w:p>
    <w:p w14:paraId="3339E541" w14:textId="77777777" w:rsidR="00595FD7" w:rsidRPr="00595FD7" w:rsidRDefault="00595FD7" w:rsidP="00595FD7">
      <w:pPr>
        <w:pStyle w:val="Cabealho4"/>
        <w:rPr>
          <w:rFonts w:ascii="Times New Roman" w:hAnsi="Times New Roman" w:cs="Times New Roman"/>
          <w:i w:val="0"/>
          <w:color w:val="auto"/>
          <w:lang w:eastAsia="en-US"/>
        </w:rPr>
      </w:pPr>
      <w:bookmarkStart w:id="299" w:name="_Toc479154866"/>
      <w:r w:rsidRPr="00595FD7">
        <w:rPr>
          <w:rFonts w:ascii="Times New Roman" w:hAnsi="Times New Roman" w:cs="Times New Roman"/>
          <w:i w:val="0"/>
          <w:color w:val="auto"/>
          <w:lang w:eastAsia="en-US"/>
        </w:rPr>
        <w:t xml:space="preserve">3.1.1.9 </w:t>
      </w:r>
      <w:proofErr w:type="gramStart"/>
      <w:r w:rsidRPr="00595FD7">
        <w:rPr>
          <w:rFonts w:ascii="Times New Roman" w:hAnsi="Times New Roman" w:cs="Times New Roman"/>
          <w:i w:val="0"/>
          <w:color w:val="auto"/>
          <w:lang w:eastAsia="en-US"/>
        </w:rPr>
        <w:t>pH</w:t>
      </w:r>
      <w:proofErr w:type="gramEnd"/>
      <w:r w:rsidRPr="00595FD7">
        <w:rPr>
          <w:rFonts w:ascii="Times New Roman" w:hAnsi="Times New Roman" w:cs="Times New Roman"/>
          <w:i w:val="0"/>
          <w:color w:val="auto"/>
          <w:lang w:eastAsia="en-US"/>
        </w:rPr>
        <w:t xml:space="preserve"> e acidez titulável</w:t>
      </w:r>
      <w:bookmarkEnd w:id="299"/>
    </w:p>
    <w:p w14:paraId="4F1CBAF7" w14:textId="77777777" w:rsidR="00595FD7" w:rsidRPr="00595FD7" w:rsidRDefault="00595FD7" w:rsidP="00595FD7">
      <w:pPr>
        <w:rPr>
          <w:rFonts w:eastAsiaTheme="minorHAnsi"/>
          <w:lang w:eastAsia="en-US"/>
        </w:rPr>
      </w:pPr>
    </w:p>
    <w:p w14:paraId="1C3D7318" w14:textId="22218889" w:rsidR="00595FD7" w:rsidRPr="00595FD7" w:rsidRDefault="00595FD7" w:rsidP="00595FD7">
      <w:pPr>
        <w:spacing w:after="160" w:line="360" w:lineRule="auto"/>
        <w:ind w:left="0" w:right="0" w:firstLine="0"/>
        <w:rPr>
          <w:rFonts w:eastAsiaTheme="minorHAnsi"/>
          <w:color w:val="auto"/>
          <w:lang w:eastAsia="en-US"/>
        </w:rPr>
      </w:pPr>
      <w:r w:rsidRPr="00595FD7">
        <w:rPr>
          <w:rFonts w:eastAsiaTheme="minorHAnsi"/>
          <w:color w:val="auto"/>
          <w:lang w:eastAsia="en-US"/>
        </w:rPr>
        <w:t xml:space="preserve">O pH mede a acidez ou basicidade </w:t>
      </w:r>
      <w:r w:rsidRPr="00595FD7">
        <w:rPr>
          <w:rFonts w:eastAsiaTheme="minorHAnsi"/>
          <w:color w:val="auto"/>
          <w:lang w:eastAsia="en-US"/>
        </w:rPr>
        <w:fldChar w:fldCharType="begin" w:fldLock="1"/>
      </w:r>
      <w:r w:rsidRPr="00595FD7">
        <w:rPr>
          <w:rFonts w:eastAsiaTheme="minorHAnsi"/>
          <w:color w:val="auto"/>
          <w:lang w:eastAsia="en-US"/>
        </w:rPr>
        <w:instrText>ADDIN CSL_CITATION { "citationItems" : [ { "id" : "ITEM-1", "itemData" : { "URL" : "http://www.vidaesaude.org/nutricao-saude/controlar-o-ph-do-corpo-significa-ter-saude-e-ficar-livre-de-doencas.html", "accessed" : { "date-parts" : [ [ "2016", "8", "19" ] ] }, "author" : [ { "dropping-particle" : "", "family" : "Avenue theme", "given" : "", "non-dropping-particle" : "", "parse-names" : false, "suffix" : "" } ], "container-title" : "Vida e sa\u00fade", "id" : "ITEM-1", "issued" : { "date-parts" : [ [ "2011" ] ] }, "title" : "Controlar o pH do corpo significa ter sa\u00fade e ficar livre de doen\u00e7as", "type" : "webpage" }, "uris" : [ "http://www.mendeley.com/documents/?uuid=4e46f3f7-7ae4-42cf-95fa-9d8ff6d8c4a3" ] } ], "mendeley" : { "formattedCitation" : "(Avenue theme, 2011)", "plainTextFormattedCitation" : "(Avenue theme, 2011)", "previouslyFormattedCitation" : "(Avenue theme, 2011)"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(Avenue theme, 2011)</w:t>
      </w:r>
      <w:r w:rsidRPr="00595FD7">
        <w:rPr>
          <w:rFonts w:eastAsiaTheme="minorHAnsi"/>
          <w:color w:val="auto"/>
          <w:lang w:eastAsia="en-US"/>
        </w:rPr>
        <w:fldChar w:fldCharType="end"/>
      </w:r>
      <w:r w:rsidRPr="00595FD7">
        <w:rPr>
          <w:rFonts w:eastAsiaTheme="minorHAnsi"/>
          <w:color w:val="auto"/>
          <w:lang w:eastAsia="en-US"/>
        </w:rPr>
        <w:t>.</w:t>
      </w:r>
      <w:r w:rsidR="004C183F">
        <w:rPr>
          <w:rFonts w:eastAsiaTheme="minorHAnsi"/>
          <w:color w:val="auto"/>
          <w:lang w:eastAsia="en-US"/>
        </w:rPr>
        <w:t xml:space="preserve"> Os resultados apresentados na F</w:t>
      </w:r>
      <w:r w:rsidRPr="00595FD7">
        <w:rPr>
          <w:rFonts w:eastAsiaTheme="minorHAnsi"/>
          <w:color w:val="auto"/>
          <w:lang w:eastAsia="en-US"/>
        </w:rPr>
        <w:t>igura 19 não revelaram diferenças significativas. No entanto a cultivar ‘verde' reve</w:t>
      </w:r>
      <w:r w:rsidR="00D87431">
        <w:rPr>
          <w:rFonts w:eastAsiaTheme="minorHAnsi"/>
          <w:color w:val="auto"/>
          <w:lang w:eastAsia="en-US"/>
        </w:rPr>
        <w:t>la um pH mais alto (6.16 ± 0.14</w:t>
      </w:r>
      <w:r w:rsidRPr="00595FD7">
        <w:rPr>
          <w:rFonts w:eastAsiaTheme="minorHAnsi"/>
          <w:color w:val="auto"/>
          <w:lang w:eastAsia="en-US"/>
        </w:rPr>
        <w:t xml:space="preserve">) seguiu-se depois </w:t>
      </w:r>
      <w:r w:rsidR="00114D09">
        <w:rPr>
          <w:rFonts w:eastAsiaTheme="minorHAnsi"/>
          <w:color w:val="auto"/>
          <w:lang w:eastAsia="en-US"/>
        </w:rPr>
        <w:t>a cultivar ‘Rosso’ (6.12 ± 0.09</w:t>
      </w:r>
      <w:r w:rsidRPr="00595FD7">
        <w:rPr>
          <w:rFonts w:eastAsiaTheme="minorHAnsi"/>
          <w:color w:val="auto"/>
          <w:lang w:eastAsia="en-US"/>
        </w:rPr>
        <w:t>), a</w:t>
      </w:r>
      <w:r w:rsidR="00114D09">
        <w:rPr>
          <w:rFonts w:eastAsiaTheme="minorHAnsi"/>
          <w:color w:val="auto"/>
          <w:lang w:eastAsia="en-US"/>
        </w:rPr>
        <w:t xml:space="preserve"> cultivar ‘Gialla’ (6.06 ± 0.07</w:t>
      </w:r>
      <w:r w:rsidRPr="00595FD7">
        <w:rPr>
          <w:rFonts w:eastAsiaTheme="minorHAnsi"/>
          <w:color w:val="auto"/>
          <w:lang w:eastAsia="en-US"/>
        </w:rPr>
        <w:t xml:space="preserve">) e por </w:t>
      </w:r>
      <w:r w:rsidR="00474F8E" w:rsidRPr="00595FD7">
        <w:rPr>
          <w:rFonts w:eastAsiaTheme="minorHAnsi"/>
          <w:color w:val="auto"/>
          <w:lang w:eastAsia="en-US"/>
        </w:rPr>
        <w:t>último</w:t>
      </w:r>
      <w:r w:rsidRPr="00595FD7">
        <w:rPr>
          <w:rFonts w:eastAsiaTheme="minorHAnsi"/>
          <w:color w:val="auto"/>
          <w:lang w:eastAsia="en-US"/>
        </w:rPr>
        <w:t xml:space="preserve"> o ecótipo ‘laranja’ (5.95 ± 0.04). Estes valores são consistentes com outras pesquisas que ind</w:t>
      </w:r>
      <w:r w:rsidR="00D14810">
        <w:rPr>
          <w:rFonts w:eastAsiaTheme="minorHAnsi"/>
          <w:color w:val="auto"/>
          <w:lang w:eastAsia="en-US"/>
        </w:rPr>
        <w:t>icam a cultivar ‘verde’ com pH entre 5.3 – 7.1</w:t>
      </w:r>
      <w:r w:rsidRPr="00595FD7">
        <w:rPr>
          <w:rFonts w:eastAsiaTheme="minorHAnsi"/>
          <w:color w:val="auto"/>
          <w:lang w:eastAsia="en-US"/>
        </w:rPr>
        <w:t xml:space="preserve">, a cultivar ‘Rosso’ (5.9 – 6.2), a cultivar laranja com 6.1 </w:t>
      </w:r>
      <w:r w:rsidRPr="00595FD7">
        <w:rPr>
          <w:rFonts w:eastAsiaTheme="minorHAnsi"/>
          <w:color w:val="auto"/>
          <w:lang w:eastAsia="en-US"/>
        </w:rPr>
        <w:fldChar w:fldCharType="begin" w:fldLock="1"/>
      </w:r>
      <w:r w:rsidR="004C0F6E">
        <w:rPr>
          <w:rFonts w:eastAsiaTheme="minorHAnsi"/>
          <w:color w:val="auto"/>
          <w:lang w:eastAsia="en-US"/>
        </w:rPr>
        <w:instrText>ADDIN CSL_CITATION { "citationItems" : [ { "id" : "ITEM-1", "itemData" : { "author" : [ { "dropping-particle" : "", "family" : "S\u00e1enz", "given" : "Carmen", "non-dropping-particle" : "", "parse-names" : false, "suffix" : "" }, { "dropping-particle" : "", "family" : "Sep\u00falveda", "given" : "Elena", "non-dropping-particle" : "", "parse-names" : false, "suffix" : "" } ], "container-title" : "Journal of the Professional Association for Cactus Development", "id" : "ITEM-1", "issued" : { "date-parts" : [ [ "2001" ] ] }, "page" : "3-10", "title" : "Cactus-Pear Juices", "type" : "article-journal", "volume" : "4" }, "uris" : [ "http://www.mendeley.com/documents/?uuid=5c1d5ba9-de66-4ca5-b566-00990b38ded1" ] } ], "mendeley" : { "formattedCitation" : "(S\u00e1enz &amp; Sep\u00falveda, 2001)", "plainTextFormattedCitation" : "(S\u00e1enz &amp; Sep\u00falveda, 2001)", "previouslyFormattedCitation" : "(S\u00e1enz &amp; Sep\u00falveda, 2001)"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(Sáenz &amp; Sepúlveda, 2001)</w:t>
      </w:r>
      <w:r w:rsidRPr="00595FD7">
        <w:rPr>
          <w:rFonts w:eastAsiaTheme="minorHAnsi"/>
          <w:color w:val="auto"/>
          <w:lang w:eastAsia="en-US"/>
        </w:rPr>
        <w:fldChar w:fldCharType="end"/>
      </w:r>
      <w:r w:rsidRPr="00595FD7">
        <w:rPr>
          <w:rFonts w:eastAsiaTheme="minorHAnsi"/>
          <w:color w:val="auto"/>
          <w:lang w:eastAsia="en-US"/>
        </w:rPr>
        <w:t xml:space="preserve"> e a Gialla entre 5.3 – 7.1 </w:t>
      </w:r>
      <w:r w:rsidRPr="00595FD7">
        <w:rPr>
          <w:rFonts w:eastAsiaTheme="minorHAnsi"/>
          <w:color w:val="auto"/>
          <w:lang w:eastAsia="en-US"/>
        </w:rPr>
        <w:fldChar w:fldCharType="begin" w:fldLock="1"/>
      </w:r>
      <w:r w:rsidRPr="00595FD7">
        <w:rPr>
          <w:rFonts w:eastAsiaTheme="minorHAnsi"/>
          <w:color w:val="auto"/>
          <w:lang w:eastAsia="en-US"/>
        </w:rPr>
        <w:instrText>ADDIN CSL_CITATION { "citationItems" : [ { "id" : "ITEM-1", "itemData" : { "author" : [ { "dropping-particle" : "", "family" : "Soldado", "given" : "Ant\u00f3nio David Braga", "non-dropping-particle" : "", "parse-names" : false, "suffix" : "" } ], "id" : "ITEM-1", "issued" : { "date-parts" : [ [ "2014" ] ] }, "number-of-pages" : "1-71", "publisher" : "Universidade Nova de Lisboa", "title" : "Desenvolvimento de metodologia para a conserva\u00e7\u00e3o de figo da \u00edndia em IV gama", "type" : "thesis" }, "uris" : [ "http://www.mendeley.com/documents/?uuid=70b74d7b-0fb7-4c01-a780-f24d69dfcada" ] } ], "mendeley" : { "formattedCitation" : "(Soldado, 2014)", "plainTextFormattedCitation" : "(Soldado, 2014)", "previouslyFormattedCitation" : "(Soldado, 2014)"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(Soldado, 2014)</w:t>
      </w:r>
      <w:r w:rsidRPr="00595FD7">
        <w:rPr>
          <w:rFonts w:eastAsiaTheme="minorHAnsi"/>
          <w:color w:val="auto"/>
          <w:lang w:eastAsia="en-US"/>
        </w:rPr>
        <w:fldChar w:fldCharType="end"/>
      </w:r>
      <w:r w:rsidRPr="00595FD7">
        <w:rPr>
          <w:rFonts w:eastAsiaTheme="minorHAnsi"/>
          <w:color w:val="auto"/>
          <w:lang w:eastAsia="en-US"/>
        </w:rPr>
        <w:t xml:space="preserve">. Uma vez que os resultados estão abaixo de 7 podemos dizer que esta fruta é moderadamente ácida (pH 6 – 6.5) </w:t>
      </w:r>
      <w:r w:rsidRPr="00595FD7">
        <w:rPr>
          <w:rFonts w:eastAsiaTheme="minorHAnsi"/>
          <w:color w:val="auto"/>
          <w:lang w:eastAsia="en-US"/>
        </w:rPr>
        <w:fldChar w:fldCharType="begin" w:fldLock="1"/>
      </w:r>
      <w:r w:rsidRPr="00595FD7">
        <w:rPr>
          <w:rFonts w:eastAsiaTheme="minorHAnsi"/>
          <w:color w:val="auto"/>
          <w:lang w:eastAsia="en-US"/>
        </w:rPr>
        <w:instrText>ADDIN CSL_CITATION { "citationItems" : [ { "id" : "ITEM-1", "itemData" : { "URL" : "http://www.vidaesaude.org/nutricao-saude/controlar-o-ph-do-corpo-significa-ter-saude-e-ficar-livre-de-doencas.html", "accessed" : { "date-parts" : [ [ "2016", "8", "19" ] ] }, "author" : [ { "dropping-particle" : "", "family" : "Avenue theme", "given" : "", "non-dropping-particle" : "", "parse-names" : false, "suffix" : "" } ], "container-title" : "Vida e sa\u00fade", "id" : "ITEM-1", "issued" : { "date-parts" : [ [ "2011" ] ] }, "title" : "Controlar o pH do corpo significa ter sa\u00fade e ficar livre de doen\u00e7as", "type" : "webpage" }, "uris" : [ "http://www.mendeley.com/documents/?uuid=4e46f3f7-7ae4-42cf-95fa-9d8ff6d8c4a3" ] } ], "mendeley" : { "formattedCitation" : "(Avenue theme, 2011)", "plainTextFormattedCitation" : "(Avenue theme, 2011)", "previouslyFormattedCitation" : "(Avenue theme, 2011)"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(Avenue theme, 2011)</w:t>
      </w:r>
      <w:r w:rsidRPr="00595FD7">
        <w:rPr>
          <w:rFonts w:eastAsiaTheme="minorHAnsi"/>
          <w:color w:val="auto"/>
          <w:lang w:eastAsia="en-US"/>
        </w:rPr>
        <w:fldChar w:fldCharType="end"/>
      </w:r>
      <w:r w:rsidRPr="00595FD7">
        <w:rPr>
          <w:rFonts w:eastAsiaTheme="minorHAnsi"/>
          <w:color w:val="auto"/>
          <w:lang w:eastAsia="en-US"/>
        </w:rPr>
        <w:t xml:space="preserve">. Podemos afirmar também que o pH está relacionado com a cor da fruta pois </w:t>
      </w:r>
      <w:r w:rsidR="00474F8E">
        <w:rPr>
          <w:rFonts w:eastAsiaTheme="minorHAnsi"/>
          <w:color w:val="auto"/>
          <w:lang w:eastAsia="en-US"/>
        </w:rPr>
        <w:t xml:space="preserve">o seu </w:t>
      </w:r>
      <w:r w:rsidRPr="00595FD7">
        <w:rPr>
          <w:rFonts w:eastAsiaTheme="minorHAnsi"/>
          <w:color w:val="auto"/>
          <w:lang w:eastAsia="en-US"/>
        </w:rPr>
        <w:t xml:space="preserve">altera a cor da pigmentação das antocianinas, </w:t>
      </w:r>
      <w:r w:rsidR="00474F8E">
        <w:rPr>
          <w:rFonts w:eastAsiaTheme="minorHAnsi"/>
          <w:color w:val="auto"/>
          <w:lang w:eastAsia="en-US"/>
        </w:rPr>
        <w:t xml:space="preserve">que </w:t>
      </w:r>
      <w:r w:rsidRPr="00595FD7">
        <w:rPr>
          <w:rFonts w:eastAsiaTheme="minorHAnsi"/>
          <w:color w:val="auto"/>
          <w:lang w:eastAsia="en-US"/>
        </w:rPr>
        <w:t xml:space="preserve">varia conforme a acidez ou alcalicidade do meio. Estas apresentam-se de cor avermelhada quando estão em meio ácido, violeta quando estão em meio neutro e azul em meio alcalino </w:t>
      </w:r>
      <w:r w:rsidRPr="00595FD7">
        <w:rPr>
          <w:rFonts w:eastAsiaTheme="minorHAnsi"/>
          <w:color w:val="auto"/>
          <w:lang w:eastAsia="en-US"/>
        </w:rPr>
        <w:fldChar w:fldCharType="begin" w:fldLock="1"/>
      </w:r>
      <w:r w:rsidR="00C75BBE">
        <w:rPr>
          <w:rFonts w:eastAsiaTheme="minorHAnsi"/>
          <w:color w:val="auto"/>
          <w:lang w:eastAsia="en-US"/>
        </w:rPr>
        <w:instrText>ADDIN CSL_CITATION { "citationItems" : [ { "id" : "ITEM-1", "itemData" : { "author" : [ { "dropping-particle" : "", "family" : "Brotto", "given" : "Daniela", "non-dropping-particle" : "", "parse-names" : false, "suffix" : "" }, { "dropping-particle" : "", "family" : "Terci", "given" : "Lopes", "non-dropping-particle" : "", "parse-names" : false, "suffix" : "" }, { "dropping-particle" : "", "family" : "Rossi", "given" : "Vitorino", "non-dropping-particle" : "", "parse-names" : false, "suffix" : "" } ], "container-title" : "Quim. Nova", "id" : "ITEM-1", "issue" : "4", "issued" : { "date-parts" : [ [ "2002" ] ] }, "page" : "684-688", "title" : "Natural pH indicators: using paper or solution?", "type" : "article-journal", "volume" : "25" }, "uris" : [ "http://www.mendeley.com/documents/?uuid=d276edd9-9e5c-4513-a142-58c3b5fe58fa" ] } ], "mendeley" : { "formattedCitation" : "(Brotto, Terci, &amp; Rossi, 2002)", "manualFormatting" : "(Brotto et al., 2002)", "plainTextFormattedCitation" : "(Brotto, Terci, &amp; Rossi, 2002)", "previouslyFormattedCitation" : "(Brotto, Terci, &amp; Rossi, 2002)" }, "properties" : { "noteIndex" : 0 }, "schema" : "https://github.com/citation-style-language/schema/raw/master/csl-citation.json" }</w:instrText>
      </w:r>
      <w:r w:rsidRPr="00595FD7">
        <w:rPr>
          <w:rFonts w:eastAsiaTheme="minorHAnsi"/>
          <w:color w:val="auto"/>
          <w:lang w:eastAsia="en-US"/>
        </w:rPr>
        <w:fldChar w:fldCharType="separate"/>
      </w:r>
      <w:r w:rsidR="007C0A72">
        <w:rPr>
          <w:rFonts w:eastAsiaTheme="minorHAnsi"/>
          <w:noProof/>
          <w:color w:val="auto"/>
          <w:lang w:eastAsia="en-US"/>
        </w:rPr>
        <w:t>(Brotto et al.</w:t>
      </w:r>
      <w:r w:rsidRPr="00595FD7">
        <w:rPr>
          <w:rFonts w:eastAsiaTheme="minorHAnsi"/>
          <w:noProof/>
          <w:color w:val="auto"/>
          <w:lang w:eastAsia="en-US"/>
        </w:rPr>
        <w:t>, 2002)</w:t>
      </w:r>
      <w:r w:rsidRPr="00595FD7">
        <w:rPr>
          <w:rFonts w:eastAsiaTheme="minorHAnsi"/>
          <w:color w:val="auto"/>
          <w:lang w:eastAsia="en-US"/>
        </w:rPr>
        <w:fldChar w:fldCharType="end"/>
      </w:r>
      <w:r w:rsidRPr="00595FD7">
        <w:rPr>
          <w:rFonts w:eastAsiaTheme="minorHAnsi"/>
          <w:color w:val="auto"/>
          <w:lang w:eastAsia="en-US"/>
        </w:rPr>
        <w:t>.</w:t>
      </w:r>
    </w:p>
    <w:p w14:paraId="7C751FA1" w14:textId="77777777" w:rsidR="00595FD7" w:rsidRDefault="00595FD7" w:rsidP="00676F1F">
      <w:pPr>
        <w:keepNext/>
        <w:jc w:val="center"/>
      </w:pPr>
      <w:r>
        <w:rPr>
          <w:noProof/>
        </w:rPr>
        <w:lastRenderedPageBreak/>
        <w:drawing>
          <wp:inline distT="0" distB="0" distL="0" distR="0" wp14:anchorId="657E5EF0" wp14:editId="142E3F47">
            <wp:extent cx="5181600" cy="2743200"/>
            <wp:effectExtent l="0" t="0" r="0" b="0"/>
            <wp:docPr id="25" name="Gráfico 2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44B615E" w14:textId="49676294" w:rsidR="00595FD7" w:rsidRPr="006C2067" w:rsidRDefault="00595FD7" w:rsidP="00676F1F">
      <w:pPr>
        <w:pStyle w:val="Legenda"/>
        <w:ind w:right="-1"/>
        <w:rPr>
          <w:rFonts w:eastAsiaTheme="minorHAnsi"/>
          <w:i w:val="0"/>
          <w:color w:val="auto"/>
          <w:sz w:val="20"/>
          <w:szCs w:val="20"/>
          <w:lang w:eastAsia="en-US"/>
        </w:rPr>
      </w:pPr>
      <w:bookmarkStart w:id="300" w:name="_Toc479333894"/>
      <w:r>
        <w:t xml:space="preserve">Figura </w:t>
      </w:r>
      <w:r w:rsidR="00805B44">
        <w:fldChar w:fldCharType="begin"/>
      </w:r>
      <w:r w:rsidR="00805B44">
        <w:instrText xml:space="preserve"> SEQ Figura \* ARABIC </w:instrText>
      </w:r>
      <w:r w:rsidR="00805B44">
        <w:fldChar w:fldCharType="separate"/>
      </w:r>
      <w:r w:rsidR="005F28B4">
        <w:rPr>
          <w:noProof/>
        </w:rPr>
        <w:t>19</w:t>
      </w:r>
      <w:r w:rsidR="00805B44">
        <w:rPr>
          <w:noProof/>
        </w:rPr>
        <w:fldChar w:fldCharType="end"/>
      </w:r>
      <w:r>
        <w:t xml:space="preserve"> - </w:t>
      </w:r>
      <w:r w:rsidRPr="006C2067">
        <w:rPr>
          <w:rFonts w:eastAsiaTheme="minorHAnsi"/>
          <w:i w:val="0"/>
          <w:color w:val="auto"/>
          <w:sz w:val="22"/>
          <w:lang w:eastAsia="en-US"/>
        </w:rPr>
        <w:t xml:space="preserve">– pH </w:t>
      </w:r>
      <w:r w:rsidRPr="006C2067">
        <w:rPr>
          <w:rFonts w:eastAsiaTheme="minorHAnsi"/>
          <w:i w:val="0"/>
          <w:color w:val="auto"/>
          <w:sz w:val="20"/>
          <w:szCs w:val="20"/>
          <w:lang w:eastAsia="en-US"/>
        </w:rPr>
        <w:t>dos frutos de quatro diferentes ecótipos/cultivares do figo-da-índia (‘laranja’, ‘verde’, ‘Rosso’ e ‘Gialla’). Os val</w:t>
      </w:r>
      <w:r w:rsidR="00882CE6">
        <w:rPr>
          <w:rFonts w:eastAsiaTheme="minorHAnsi"/>
          <w:i w:val="0"/>
          <w:color w:val="auto"/>
          <w:sz w:val="20"/>
          <w:szCs w:val="20"/>
          <w:lang w:eastAsia="en-US"/>
        </w:rPr>
        <w:t>ores representam uma média de 30</w:t>
      </w:r>
      <w:r w:rsidRPr="006C2067">
        <w:rPr>
          <w:rFonts w:eastAsiaTheme="minorHAnsi"/>
          <w:i w:val="0"/>
          <w:color w:val="auto"/>
          <w:sz w:val="20"/>
          <w:szCs w:val="20"/>
          <w:lang w:eastAsia="en-US"/>
        </w:rPr>
        <w:t xml:space="preserve"> amostras por cultivar. Barras com a mesma letra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w:t>
      </w:r>
      <w:bookmarkEnd w:id="300"/>
    </w:p>
    <w:p w14:paraId="4AE332FB" w14:textId="77777777" w:rsidR="00595FD7" w:rsidRDefault="00595FD7" w:rsidP="00595FD7">
      <w:pPr>
        <w:rPr>
          <w:rFonts w:eastAsiaTheme="minorHAnsi"/>
          <w:lang w:eastAsia="en-US"/>
        </w:rPr>
      </w:pPr>
    </w:p>
    <w:p w14:paraId="0927AD3D" w14:textId="785B45AE" w:rsidR="00595FD7" w:rsidRDefault="00595FD7" w:rsidP="00595FD7">
      <w:pPr>
        <w:ind w:right="-1"/>
        <w:rPr>
          <w:rFonts w:eastAsiaTheme="minorHAnsi"/>
          <w:color w:val="auto"/>
          <w:lang w:eastAsia="en-US"/>
        </w:rPr>
      </w:pPr>
      <w:r w:rsidRPr="00EB535B">
        <w:rPr>
          <w:rFonts w:eastAsiaTheme="minorHAnsi"/>
          <w:color w:val="auto"/>
          <w:lang w:eastAsia="en-US"/>
        </w:rPr>
        <w:t>A acidez titulável indica-nos a quantidade de ácido total presente no fruto.</w:t>
      </w:r>
      <w:r w:rsidR="004C183F">
        <w:rPr>
          <w:rFonts w:eastAsiaTheme="minorHAnsi"/>
          <w:color w:val="auto"/>
          <w:lang w:eastAsia="en-US"/>
        </w:rPr>
        <w:t xml:space="preserve"> Na F</w:t>
      </w:r>
      <w:r>
        <w:rPr>
          <w:rFonts w:eastAsiaTheme="minorHAnsi"/>
          <w:color w:val="auto"/>
          <w:lang w:eastAsia="en-US"/>
        </w:rPr>
        <w:t>igura 20</w:t>
      </w:r>
      <w:r w:rsidRPr="00EB535B">
        <w:rPr>
          <w:rFonts w:eastAsiaTheme="minorHAnsi"/>
          <w:color w:val="auto"/>
          <w:lang w:eastAsia="en-US"/>
        </w:rPr>
        <w:t xml:space="preserve"> todos os ecótipos/cultivares apresentaram valores de acidez titulável semelhantes excetuando a cultivar ‘</w:t>
      </w:r>
      <w:r>
        <w:rPr>
          <w:rFonts w:eastAsiaTheme="minorHAnsi"/>
          <w:color w:val="auto"/>
          <w:lang w:eastAsia="en-US"/>
        </w:rPr>
        <w:t>Gialla</w:t>
      </w:r>
      <w:r w:rsidRPr="00EB535B">
        <w:rPr>
          <w:rFonts w:eastAsiaTheme="minorHAnsi"/>
          <w:color w:val="auto"/>
          <w:lang w:eastAsia="en-US"/>
        </w:rPr>
        <w:t>’ que apresen</w:t>
      </w:r>
      <w:r>
        <w:rPr>
          <w:rFonts w:eastAsiaTheme="minorHAnsi"/>
          <w:color w:val="auto"/>
          <w:lang w:eastAsia="en-US"/>
        </w:rPr>
        <w:t xml:space="preserve">tou valores significativamente </w:t>
      </w:r>
      <w:r w:rsidRPr="00EB535B">
        <w:rPr>
          <w:rFonts w:eastAsiaTheme="minorHAnsi"/>
          <w:color w:val="auto"/>
          <w:lang w:eastAsia="en-US"/>
        </w:rPr>
        <w:t>infe</w:t>
      </w:r>
      <w:r w:rsidR="00F12C50">
        <w:rPr>
          <w:rFonts w:eastAsiaTheme="minorHAnsi"/>
          <w:color w:val="auto"/>
          <w:lang w:eastAsia="en-US"/>
        </w:rPr>
        <w:t>riores (0.019</w:t>
      </w:r>
      <w:r w:rsidRPr="00EB535B">
        <w:rPr>
          <w:rFonts w:eastAsiaTheme="minorHAnsi"/>
          <w:color w:val="auto"/>
          <w:lang w:eastAsia="en-US"/>
        </w:rPr>
        <w:t xml:space="preserve"> ± 0.001%). Neste caso o que apresenta maior percentagem de ác</w:t>
      </w:r>
      <w:r w:rsidR="004C183F">
        <w:rPr>
          <w:rFonts w:eastAsiaTheme="minorHAnsi"/>
          <w:color w:val="auto"/>
          <w:lang w:eastAsia="en-US"/>
        </w:rPr>
        <w:t>ido é o que tem o pH mais baixo</w:t>
      </w:r>
      <w:r w:rsidRPr="00EB535B">
        <w:rPr>
          <w:rFonts w:eastAsiaTheme="minorHAnsi"/>
          <w:color w:val="auto"/>
          <w:lang w:eastAsia="en-US"/>
        </w:rPr>
        <w:t xml:space="preserve"> mesmo </w:t>
      </w:r>
      <w:r w:rsidR="004C183F">
        <w:rPr>
          <w:rFonts w:eastAsiaTheme="minorHAnsi"/>
          <w:color w:val="auto"/>
          <w:lang w:eastAsia="en-US"/>
        </w:rPr>
        <w:t>com</w:t>
      </w:r>
      <w:r w:rsidRPr="00EB535B">
        <w:rPr>
          <w:rFonts w:eastAsiaTheme="minorHAnsi"/>
          <w:color w:val="auto"/>
          <w:lang w:eastAsia="en-US"/>
        </w:rPr>
        <w:t xml:space="preserve"> valores superiores a</w:t>
      </w:r>
      <w:r w:rsidR="004E1670">
        <w:rPr>
          <w:rFonts w:eastAsiaTheme="minorHAnsi"/>
          <w:color w:val="auto"/>
          <w:lang w:eastAsia="en-US"/>
        </w:rPr>
        <w:t>os referidos por</w:t>
      </w:r>
      <w:r w:rsidRPr="00EB535B">
        <w:rPr>
          <w:rFonts w:eastAsiaTheme="minorHAnsi"/>
          <w:color w:val="auto"/>
          <w:lang w:eastAsia="en-US"/>
        </w:rPr>
        <w:t xml:space="preserve"> </w:t>
      </w:r>
      <w:r w:rsidRPr="00EB535B">
        <w:rPr>
          <w:rFonts w:eastAsiaTheme="minorHAnsi"/>
          <w:color w:val="auto"/>
          <w:lang w:eastAsia="en-US"/>
        </w:rPr>
        <w:fldChar w:fldCharType="begin" w:fldLock="1"/>
      </w:r>
      <w:r w:rsidR="004C0F6E">
        <w:rPr>
          <w:rFonts w:eastAsiaTheme="minorHAnsi"/>
          <w:color w:val="auto"/>
          <w:lang w:eastAsia="en-US"/>
        </w:rPr>
        <w:instrText>ADDIN CSL_CITATION { "citationItems" : [ { "id" : "ITEM-1", "itemData" : { "author" : [ { "dropping-particle" : "", "family" : "S\u00e1enz", "given" : "Carmen", "non-dropping-particle" : "", "parse-names" : false, "suffix" : "" }, { "dropping-particle" : "", "family" : "Sep\u00falveda", "given" : "Elena", "non-dropping-particle" : "", "parse-names" : false, "suffix" : "" } ], "container-title" : "Journal of the Professional Association for Cactus Development", "id" : "ITEM-1", "issued" : { "date-parts" : [ [ "2001" ] ] }, "page" : "3-10", "title" : "Cactus-Pear Juices", "type" : "article-journal", "volume" : "4" }, "uris" : [ "http://www.mendeley.com/documents/?uuid=5c1d5ba9-de66-4ca5-b566-00990b38ded1" ] } ], "mendeley" : { "formattedCitation" : "(S\u00e1enz &amp; Sep\u00falveda, 2001)", "manualFormatting" : "S\u00e1enz &amp; Sep\u00falveda (2001", "plainTextFormattedCitation" : "(S\u00e1enz &amp; Sep\u00falveda, 2001)", "previouslyFormattedCitation" : "(S\u00e1enz &amp; Sep\u00falveda, 2001)" }, "properties" : { "noteIndex" : 0 }, "schema" : "https://github.com/citation-style-language/schema/raw/master/csl-citation.json" }</w:instrText>
      </w:r>
      <w:r w:rsidRPr="00EB535B">
        <w:rPr>
          <w:rFonts w:eastAsiaTheme="minorHAnsi"/>
          <w:color w:val="auto"/>
          <w:lang w:eastAsia="en-US"/>
        </w:rPr>
        <w:fldChar w:fldCharType="separate"/>
      </w:r>
      <w:r w:rsidR="004C183F">
        <w:rPr>
          <w:rFonts w:eastAsiaTheme="minorHAnsi"/>
          <w:noProof/>
          <w:color w:val="auto"/>
          <w:lang w:eastAsia="en-US"/>
        </w:rPr>
        <w:t>Sáenz &amp; Sepúlveda</w:t>
      </w:r>
      <w:r w:rsidRPr="00EB535B">
        <w:rPr>
          <w:rFonts w:eastAsiaTheme="minorHAnsi"/>
          <w:noProof/>
          <w:color w:val="auto"/>
          <w:lang w:eastAsia="en-US"/>
        </w:rPr>
        <w:t xml:space="preserve"> (2001</w:t>
      </w:r>
      <w:r w:rsidRPr="00EB535B">
        <w:rPr>
          <w:rFonts w:eastAsiaTheme="minorHAnsi"/>
          <w:color w:val="auto"/>
          <w:lang w:eastAsia="en-US"/>
        </w:rPr>
        <w:fldChar w:fldCharType="end"/>
      </w:r>
      <w:r w:rsidRPr="00EB535B">
        <w:rPr>
          <w:rFonts w:eastAsiaTheme="minorHAnsi"/>
          <w:color w:val="auto"/>
          <w:lang w:eastAsia="en-US"/>
        </w:rPr>
        <w:t>). No caso do ecótipo ‘verde’ e da cultivar ‘</w:t>
      </w:r>
      <w:r>
        <w:rPr>
          <w:rFonts w:eastAsiaTheme="minorHAnsi"/>
          <w:color w:val="auto"/>
          <w:lang w:eastAsia="en-US"/>
        </w:rPr>
        <w:t>Rosso</w:t>
      </w:r>
      <w:r w:rsidR="00355745">
        <w:rPr>
          <w:rFonts w:eastAsiaTheme="minorHAnsi"/>
          <w:color w:val="auto"/>
          <w:lang w:eastAsia="en-US"/>
        </w:rPr>
        <w:t>’ em termos</w:t>
      </w:r>
      <w:r>
        <w:rPr>
          <w:rFonts w:eastAsiaTheme="minorHAnsi"/>
          <w:color w:val="auto"/>
          <w:lang w:eastAsia="en-US"/>
        </w:rPr>
        <w:t xml:space="preserve"> de pH apresentara</w:t>
      </w:r>
      <w:r w:rsidRPr="00EB535B">
        <w:rPr>
          <w:rFonts w:eastAsiaTheme="minorHAnsi"/>
          <w:color w:val="auto"/>
          <w:lang w:eastAsia="en-US"/>
        </w:rPr>
        <w:t xml:space="preserve">m valores idênticos logo em termos de acidez do fruto deveria ser igual embora apresentem uma pequena diferença mas não é significativa e estão de acordo com a pesquisa de </w:t>
      </w:r>
      <w:r w:rsidRPr="00EB535B">
        <w:rPr>
          <w:rFonts w:eastAsiaTheme="minorHAnsi"/>
          <w:color w:val="auto"/>
          <w:lang w:eastAsia="en-US"/>
        </w:rPr>
        <w:fldChar w:fldCharType="begin" w:fldLock="1"/>
      </w:r>
      <w:r w:rsidR="004C0F6E">
        <w:rPr>
          <w:rFonts w:eastAsiaTheme="minorHAnsi"/>
          <w:color w:val="auto"/>
          <w:lang w:eastAsia="en-US"/>
        </w:rPr>
        <w:instrText>ADDIN CSL_CITATION { "citationItems" : [ { "id" : "ITEM-1", "itemData" : { "author" : [ { "dropping-particle" : "", "family" : "S\u00e1enz", "given" : "Carmen", "non-dropping-particle" : "", "parse-names" : false, "suffix" : "" }, { "dropping-particle" : "", "family" : "Sep\u00falveda", "given" : "Elena", "non-dropping-particle" : "", "parse-names" : false, "suffix" : "" } ], "container-title" : "Journal of the Professional Association for Cactus Development", "id" : "ITEM-1", "issued" : { "date-parts" : [ [ "2001" ] ] }, "page" : "3-10", "title" : "Cactus-Pear Juices", "type" : "article-journal", "volume" : "4" }, "uris" : [ "http://www.mendeley.com/documents/?uuid=5c1d5ba9-de66-4ca5-b566-00990b38ded1" ] } ], "mendeley" : { "formattedCitation" : "(S\u00e1enz &amp; Sep\u00falveda, 2001)", "manualFormatting" : "S\u00e1enz &amp; Sep\u00falveda (2001", "plainTextFormattedCitation" : "(S\u00e1enz &amp; Sep\u00falveda, 2001)", "previouslyFormattedCitation" : "(S\u00e1enz &amp; Sep\u00falveda, 2001)" }, "properties" : { "noteIndex" : 0 }, "schema" : "https://github.com/citation-style-language/schema/raw/master/csl-citation.json" }</w:instrText>
      </w:r>
      <w:r w:rsidRPr="00EB535B">
        <w:rPr>
          <w:rFonts w:eastAsiaTheme="minorHAnsi"/>
          <w:color w:val="auto"/>
          <w:lang w:eastAsia="en-US"/>
        </w:rPr>
        <w:fldChar w:fldCharType="separate"/>
      </w:r>
      <w:r w:rsidRPr="00EB535B">
        <w:rPr>
          <w:rFonts w:eastAsiaTheme="minorHAnsi"/>
          <w:noProof/>
          <w:color w:val="auto"/>
          <w:lang w:eastAsia="en-US"/>
        </w:rPr>
        <w:t>Sáenz &amp; Sepúlveda (2001</w:t>
      </w:r>
      <w:r w:rsidRPr="00EB535B">
        <w:rPr>
          <w:rFonts w:eastAsiaTheme="minorHAnsi"/>
          <w:color w:val="auto"/>
          <w:lang w:eastAsia="en-US"/>
        </w:rPr>
        <w:fldChar w:fldCharType="end"/>
      </w:r>
      <w:r w:rsidRPr="00EB535B">
        <w:rPr>
          <w:rFonts w:eastAsiaTheme="minorHAnsi"/>
          <w:color w:val="auto"/>
          <w:lang w:eastAsia="en-US"/>
        </w:rPr>
        <w:t>). A ‘</w:t>
      </w:r>
      <w:r>
        <w:rPr>
          <w:rFonts w:eastAsiaTheme="minorHAnsi"/>
          <w:color w:val="auto"/>
          <w:lang w:eastAsia="en-US"/>
        </w:rPr>
        <w:t>Gialla</w:t>
      </w:r>
      <w:r w:rsidR="00F12C50">
        <w:rPr>
          <w:rFonts w:eastAsiaTheme="minorHAnsi"/>
          <w:color w:val="auto"/>
          <w:lang w:eastAsia="en-US"/>
        </w:rPr>
        <w:t xml:space="preserve">’ por sua vez </w:t>
      </w:r>
      <w:r w:rsidRPr="00EB535B">
        <w:rPr>
          <w:rFonts w:eastAsiaTheme="minorHAnsi"/>
          <w:color w:val="auto"/>
          <w:lang w:eastAsia="en-US"/>
        </w:rPr>
        <w:t>apresenta pH mais baixo do que as cultivares ‘</w:t>
      </w:r>
      <w:r>
        <w:rPr>
          <w:rFonts w:eastAsiaTheme="minorHAnsi"/>
          <w:color w:val="auto"/>
          <w:lang w:eastAsia="en-US"/>
        </w:rPr>
        <w:t>Rosso</w:t>
      </w:r>
      <w:r w:rsidRPr="00EB535B">
        <w:rPr>
          <w:rFonts w:eastAsiaTheme="minorHAnsi"/>
          <w:color w:val="auto"/>
          <w:lang w:eastAsia="en-US"/>
        </w:rPr>
        <w:t>’ e ecótipo ‘verde’ deveria ter uma maior percentagem de ácido o que não se verifica</w:t>
      </w:r>
      <w:r>
        <w:rPr>
          <w:rFonts w:eastAsiaTheme="minorHAnsi"/>
          <w:color w:val="auto"/>
          <w:lang w:eastAsia="en-US"/>
        </w:rPr>
        <w:t>.</w:t>
      </w:r>
      <w:r w:rsidR="00C055E8">
        <w:rPr>
          <w:rFonts w:eastAsiaTheme="minorHAnsi"/>
          <w:color w:val="auto"/>
          <w:lang w:eastAsia="en-US"/>
        </w:rPr>
        <w:t xml:space="preserve"> </w:t>
      </w:r>
    </w:p>
    <w:p w14:paraId="522DBFC5" w14:textId="77777777" w:rsidR="00595FD7" w:rsidRDefault="00595FD7" w:rsidP="00676F1F">
      <w:pPr>
        <w:keepNext/>
        <w:ind w:right="-1"/>
        <w:jc w:val="center"/>
      </w:pPr>
      <w:r>
        <w:rPr>
          <w:noProof/>
        </w:rPr>
        <w:lastRenderedPageBreak/>
        <w:drawing>
          <wp:inline distT="0" distB="0" distL="0" distR="0" wp14:anchorId="59ACAADC" wp14:editId="09006C54">
            <wp:extent cx="5105400" cy="2743200"/>
            <wp:effectExtent l="0" t="0" r="0" b="0"/>
            <wp:docPr id="26" name="Gráfico 2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3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022D4C3" w14:textId="205B61F0" w:rsidR="00595FD7" w:rsidRDefault="00595FD7" w:rsidP="00676F1F">
      <w:pPr>
        <w:pStyle w:val="Legenda"/>
        <w:tabs>
          <w:tab w:val="left" w:pos="7513"/>
        </w:tabs>
        <w:ind w:right="-1"/>
        <w:rPr>
          <w:rFonts w:eastAsiaTheme="minorHAnsi"/>
          <w:color w:val="auto"/>
          <w:sz w:val="20"/>
          <w:szCs w:val="20"/>
          <w:lang w:eastAsia="en-US"/>
        </w:rPr>
      </w:pPr>
      <w:bookmarkStart w:id="301" w:name="_Toc479333895"/>
      <w:r>
        <w:t xml:space="preserve">Figura </w:t>
      </w:r>
      <w:r w:rsidR="00805B44">
        <w:fldChar w:fldCharType="begin"/>
      </w:r>
      <w:r w:rsidR="00805B44">
        <w:instrText xml:space="preserve"> SEQ Figura \* ARABIC </w:instrText>
      </w:r>
      <w:r w:rsidR="00805B44">
        <w:fldChar w:fldCharType="separate"/>
      </w:r>
      <w:r w:rsidR="005F28B4">
        <w:rPr>
          <w:noProof/>
        </w:rPr>
        <w:t>20</w:t>
      </w:r>
      <w:r w:rsidR="00805B44">
        <w:rPr>
          <w:noProof/>
        </w:rPr>
        <w:fldChar w:fldCharType="end"/>
      </w:r>
      <w:r>
        <w:t xml:space="preserve"> - </w:t>
      </w:r>
      <w:r w:rsidRPr="006C2067">
        <w:rPr>
          <w:rFonts w:eastAsiaTheme="minorHAnsi"/>
          <w:i w:val="0"/>
          <w:color w:val="auto"/>
          <w:sz w:val="22"/>
          <w:lang w:eastAsia="en-US"/>
        </w:rPr>
        <w:t xml:space="preserve">Acidez titulável </w:t>
      </w:r>
      <w:r w:rsidRPr="006C2067">
        <w:rPr>
          <w:rFonts w:eastAsiaTheme="minorHAnsi"/>
          <w:i w:val="0"/>
          <w:color w:val="auto"/>
          <w:sz w:val="20"/>
          <w:szCs w:val="20"/>
          <w:lang w:eastAsia="en-US"/>
        </w:rPr>
        <w:t>dos frutos de quatro diferentes ecótipos/cultivares do figo-da-índia (‘laranja’, ‘verde’, ‘Rosso’ e ‘Gialla’). Os val</w:t>
      </w:r>
      <w:r w:rsidR="00882CE6">
        <w:rPr>
          <w:rFonts w:eastAsiaTheme="minorHAnsi"/>
          <w:i w:val="0"/>
          <w:color w:val="auto"/>
          <w:sz w:val="20"/>
          <w:szCs w:val="20"/>
          <w:lang w:eastAsia="en-US"/>
        </w:rPr>
        <w:t>ores representam uma média de 30</w:t>
      </w:r>
      <w:r w:rsidRPr="006C2067">
        <w:rPr>
          <w:rFonts w:eastAsiaTheme="minorHAnsi"/>
          <w:i w:val="0"/>
          <w:color w:val="auto"/>
          <w:sz w:val="20"/>
          <w:szCs w:val="20"/>
          <w:lang w:eastAsia="en-US"/>
        </w:rPr>
        <w:t xml:space="preserve"> amostras por cultivar. Barras com a mesma letra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w:t>
      </w:r>
      <w:bookmarkEnd w:id="301"/>
    </w:p>
    <w:p w14:paraId="134921C5" w14:textId="77777777" w:rsidR="00595FD7" w:rsidRDefault="00595FD7" w:rsidP="00595FD7">
      <w:pPr>
        <w:rPr>
          <w:rFonts w:eastAsiaTheme="minorHAnsi"/>
          <w:lang w:eastAsia="en-US"/>
        </w:rPr>
      </w:pPr>
    </w:p>
    <w:p w14:paraId="77A14FBD" w14:textId="77777777" w:rsidR="006C2067" w:rsidRDefault="006C2067" w:rsidP="00595FD7">
      <w:pPr>
        <w:rPr>
          <w:rFonts w:eastAsiaTheme="minorHAnsi"/>
          <w:lang w:eastAsia="en-US"/>
        </w:rPr>
      </w:pPr>
    </w:p>
    <w:p w14:paraId="027D0950" w14:textId="77777777" w:rsidR="00595FD7" w:rsidRPr="006C2067" w:rsidRDefault="00595FD7" w:rsidP="006C2067">
      <w:pPr>
        <w:pStyle w:val="Cabealho2"/>
        <w:rPr>
          <w:rFonts w:ascii="Times New Roman" w:hAnsi="Times New Roman" w:cs="Times New Roman"/>
          <w:color w:val="auto"/>
          <w:lang w:eastAsia="en-US"/>
        </w:rPr>
      </w:pPr>
      <w:bookmarkStart w:id="302" w:name="_Toc462709793"/>
      <w:bookmarkStart w:id="303" w:name="_Toc479154867"/>
      <w:r w:rsidRPr="006C2067">
        <w:rPr>
          <w:rFonts w:ascii="Times New Roman" w:hAnsi="Times New Roman" w:cs="Times New Roman"/>
          <w:color w:val="auto"/>
          <w:lang w:eastAsia="en-US"/>
        </w:rPr>
        <w:t>3.1.2 Compostos fenólicos</w:t>
      </w:r>
      <w:bookmarkEnd w:id="302"/>
      <w:bookmarkEnd w:id="303"/>
    </w:p>
    <w:p w14:paraId="11DAFB16" w14:textId="77777777" w:rsidR="00595FD7" w:rsidRDefault="00595FD7" w:rsidP="00595FD7">
      <w:pPr>
        <w:pStyle w:val="Cabealho4"/>
        <w:rPr>
          <w:rFonts w:ascii="Times New Roman" w:hAnsi="Times New Roman" w:cs="Times New Roman"/>
          <w:i w:val="0"/>
          <w:color w:val="auto"/>
          <w:lang w:eastAsia="en-US"/>
        </w:rPr>
      </w:pPr>
      <w:bookmarkStart w:id="304" w:name="_Toc462709794"/>
      <w:bookmarkStart w:id="305" w:name="_Toc479154868"/>
      <w:r w:rsidRPr="00595FD7">
        <w:rPr>
          <w:rFonts w:ascii="Times New Roman" w:hAnsi="Times New Roman" w:cs="Times New Roman"/>
          <w:i w:val="0"/>
          <w:color w:val="auto"/>
          <w:lang w:eastAsia="en-US"/>
        </w:rPr>
        <w:t>3.1.2.1 Fenóis totais</w:t>
      </w:r>
      <w:bookmarkEnd w:id="304"/>
      <w:bookmarkEnd w:id="305"/>
    </w:p>
    <w:p w14:paraId="18DF373D" w14:textId="77777777" w:rsidR="00595FD7" w:rsidRPr="00595FD7" w:rsidRDefault="00595FD7" w:rsidP="00595FD7">
      <w:pPr>
        <w:rPr>
          <w:rFonts w:eastAsiaTheme="minorHAnsi"/>
          <w:lang w:eastAsia="en-US"/>
        </w:rPr>
      </w:pPr>
    </w:p>
    <w:p w14:paraId="4656EB23" w14:textId="0BFDF66B" w:rsidR="00595FD7" w:rsidRPr="00595FD7" w:rsidRDefault="00595FD7" w:rsidP="00595FD7">
      <w:pPr>
        <w:spacing w:after="160" w:line="360" w:lineRule="auto"/>
        <w:ind w:left="0" w:right="0" w:firstLine="0"/>
        <w:rPr>
          <w:rFonts w:eastAsiaTheme="minorHAnsi"/>
          <w:color w:val="auto"/>
          <w:lang w:eastAsia="en-US"/>
        </w:rPr>
      </w:pPr>
      <w:r w:rsidRPr="00595FD7">
        <w:rPr>
          <w:rFonts w:eastAsiaTheme="minorHAnsi"/>
          <w:color w:val="auto"/>
          <w:lang w:eastAsia="en-US"/>
        </w:rPr>
        <w:t xml:space="preserve">O método usado é do Folin-Ciocalteau, que é o mais usado para quantificar fenóis totais das amostras </w:t>
      </w:r>
      <w:r w:rsidRPr="00595FD7">
        <w:rPr>
          <w:rFonts w:eastAsiaTheme="minorHAnsi"/>
          <w:color w:val="auto"/>
          <w:lang w:eastAsia="en-US"/>
        </w:rPr>
        <w:fldChar w:fldCharType="begin" w:fldLock="1"/>
      </w:r>
      <w:r w:rsidR="00BC0CEB">
        <w:rPr>
          <w:rFonts w:eastAsiaTheme="minorHAnsi"/>
          <w:color w:val="auto"/>
          <w:lang w:eastAsia="en-US"/>
        </w:rPr>
        <w:instrText>ADDIN CSL_CITATION { "citationItems" : [ { "id" : "ITEM-1", "itemData" : { "author" : [ { "dropping-particle" : "", "family" : "Guerreiro", "given" : "Adriana Cavaco", "non-dropping-particle" : "", "parse-names" : false, "suffix" : "" } ], "id" : "ITEM-1", "issued" : { "date-parts" : [ [ "2012" ] ] }, "number-of-pages" : "162 pp", "publisher" : "Universidade do Algarve", "title" : "Conserva\u00e7\u00e3o do medronho em fresco e em geleia Conserva\u00e7\u00e3o do medronho em fresco e em geleia", "type" : "thesis" }, "uris" : [ "http://www.mendeley.com/documents/?uuid=7197006e-fa41-4fc9-9f31-0ff148fe8966" ] } ], "mendeley" : { "formattedCitation" : "(Guerreiro, 2012)", "plainTextFormattedCitation" : "(Guerreiro, 2012)", "previouslyFormattedCitation" : "(Guerreiro, 2012)"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(Guerreiro, 2012)</w:t>
      </w:r>
      <w:r w:rsidRPr="00595FD7">
        <w:rPr>
          <w:rFonts w:eastAsiaTheme="minorHAnsi"/>
          <w:color w:val="auto"/>
          <w:lang w:eastAsia="en-US"/>
        </w:rPr>
        <w:fldChar w:fldCharType="end"/>
      </w:r>
      <w:r w:rsidRPr="00595FD7">
        <w:rPr>
          <w:rFonts w:eastAsiaTheme="minorHAnsi"/>
          <w:color w:val="auto"/>
          <w:lang w:eastAsia="en-US"/>
        </w:rPr>
        <w:t>. É composto por um reagente de fosfomolíbdico e fos</w:t>
      </w:r>
      <w:r w:rsidR="004C183F">
        <w:rPr>
          <w:rFonts w:eastAsiaTheme="minorHAnsi"/>
          <w:color w:val="auto"/>
          <w:lang w:eastAsia="en-US"/>
        </w:rPr>
        <w:t>fotung</w:t>
      </w:r>
      <w:r w:rsidRPr="00595FD7">
        <w:rPr>
          <w:rFonts w:eastAsiaTheme="minorHAnsi"/>
          <w:color w:val="auto"/>
          <w:lang w:eastAsia="en-US"/>
        </w:rPr>
        <w:t xml:space="preserve">stico que se encontra em estado de oxidação e quando existe a </w:t>
      </w:r>
      <w:r w:rsidR="00C055E8">
        <w:rPr>
          <w:rFonts w:eastAsiaTheme="minorHAnsi"/>
          <w:color w:val="auto"/>
          <w:lang w:eastAsia="en-US"/>
        </w:rPr>
        <w:t>presença</w:t>
      </w:r>
      <w:r w:rsidR="00C055E8" w:rsidRPr="00595FD7">
        <w:rPr>
          <w:rFonts w:eastAsiaTheme="minorHAnsi"/>
          <w:color w:val="auto"/>
          <w:lang w:eastAsia="en-US"/>
        </w:rPr>
        <w:t xml:space="preserve"> </w:t>
      </w:r>
      <w:r w:rsidR="00181954">
        <w:rPr>
          <w:rFonts w:eastAsiaTheme="minorHAnsi"/>
          <w:color w:val="auto"/>
          <w:lang w:eastAsia="en-US"/>
        </w:rPr>
        <w:t xml:space="preserve">de </w:t>
      </w:r>
      <w:r w:rsidRPr="00595FD7">
        <w:rPr>
          <w:rFonts w:eastAsiaTheme="minorHAnsi"/>
          <w:color w:val="auto"/>
          <w:lang w:eastAsia="en-US"/>
        </w:rPr>
        <w:t xml:space="preserve">reagentes redutores, como compostos fenólicos, estes formam molibdénio e tungsténio azul. Permitindo assim a determinação dos compostos fenólicos, mas não determina qual a sua natureza </w:t>
      </w:r>
      <w:r w:rsidRPr="00595FD7">
        <w:rPr>
          <w:rFonts w:eastAsiaTheme="minorHAnsi"/>
          <w:color w:val="auto"/>
          <w:lang w:eastAsia="en-US"/>
        </w:rPr>
        <w:fldChar w:fldCharType="begin" w:fldLock="1"/>
      </w:r>
      <w:r w:rsidRPr="00595FD7">
        <w:rPr>
          <w:rFonts w:eastAsiaTheme="minorHAnsi"/>
          <w:color w:val="auto"/>
          <w:lang w:eastAsia="en-US"/>
        </w:rPr>
        <w:instrText>ADDIN CSL_CITATION { "citationItems" : [ { "id" : "ITEM-1", "itemData" : { "author" : [ { "dropping-particle" : "", "family" : "Sousa", "given" : "Cleyton Marcos De M", "non-dropping-particle" : "", "parse-names" : false, "suffix" : "" }, { "dropping-particle" : "", "family" : "Rocha", "given" : "Hilris", "non-dropping-particle" : "", "parse-names" : false, "suffix" : "" }, { "dropping-particle" : "", "family" : "Vieira-jr", "given" : "Gerardo Magela", "non-dropping-particle" : "", "parse-names" : false, "suffix" : "" }, { "dropping-particle" : "", "family" : "Ayres", "given" : "Mariane Cruz C", "non-dropping-particle" : "", "parse-names" : false, "suffix" : "" }, { "dropping-particle" : "", "family" : "Costa", "given" : "Luis S", "non-dropping-particle" : "", "parse-names" : false, "suffix" : "" }, { "dropping-particle" : "", "family" : "Ara\u00fajo", "given" : "Delton S\u00e9rvulo", "non-dropping-particle" : "", "parse-names" : false, "suffix" : "" }, { "dropping-particle" : "", "family" : "Cavalcante", "given" : "Luis Carlos D", "non-dropping-particle" : "", "parse-names" : false, "suffix" : "" }, { "dropping-particle" : "", "family" : "Barros", "given" : "Elcio Daniel S", "non-dropping-particle" : "", "parse-names" : false, "suffix" : "" }, { "dropping-particle" : "De", "family" : "M", "given" : "Paulo Breitner", "non-dropping-particle" : "", "parse-names" : false, "suffix" : "" }, { "dropping-particle" : "", "family" : "Brand\u00e3o", "given" : "Marcela S", "non-dropping-particle" : "", "parse-names" : false, "suffix" : "" }, { "dropping-particle" : "De", "family" : "Qu\u00edmica", "given" : "Departamento", "non-dropping-particle" : "", "parse-names" : false, "suffix" : "" }, { "dropping-particle" : "", "family" : "Federal", "given" : "Universidade", "non-dropping-particle" : "", "parse-names" : false, "suffix" : "" }, { "dropping-particle" : "", "family" : "Pi", "given" : "Teresina", "non-dropping-particle" : "", "parse-names" : false, "suffix" : "" }, { "dropping-particle" : "", "family" : "Mart", "given" : "Terminalia", "non-dropping-particle" : "", "parse-names" : false, "suffix" : "" }, { "dropping-particle" : "", "family" : "Moore", "given" : "Miller H E", "non-dropping-particle" : "", "parse-names" : false, "suffix" : "" } ], "container-title" : "Quim. Nova", "id" : "ITEM-1", "issue" : "2", "issued" : { "date-parts" : [ [ "2007", "9" ] ] }, "page" : "351-355", "title" : "Total phenolics and antioxidant activity of five medicinal plants", "type" : "article-magazine", "volume" : "30" }, "uris" : [ "http://www.mendeley.com/documents/?uuid=1d9f9a5a-2558-40c9-a640-90759108a1fa" ] } ], "mendeley" : { "formattedCitation" : "(Sousa et al., 2007)", "plainTextFormattedCitation" : "(Sousa et al., 2007)", "previouslyFormattedCitation" : "(Sousa et al., 2007)" }, "properties" : { "noteIndex" : 0 }, "schema" : "https://github.com/citation-style-language/schema/raw/master/csl-citation.json" }</w:instrText>
      </w:r>
      <w:r w:rsidRPr="00595FD7">
        <w:rPr>
          <w:rFonts w:eastAsiaTheme="minorHAnsi"/>
          <w:color w:val="auto"/>
          <w:lang w:eastAsia="en-US"/>
        </w:rPr>
        <w:fldChar w:fldCharType="separate"/>
      </w:r>
      <w:r w:rsidRPr="00595FD7">
        <w:rPr>
          <w:rFonts w:eastAsiaTheme="minorHAnsi"/>
          <w:noProof/>
          <w:color w:val="auto"/>
          <w:lang w:eastAsia="en-US"/>
        </w:rPr>
        <w:t>(Sousa et al., 2007)</w:t>
      </w:r>
      <w:r w:rsidRPr="00595FD7">
        <w:rPr>
          <w:rFonts w:eastAsiaTheme="minorHAnsi"/>
          <w:color w:val="auto"/>
          <w:lang w:eastAsia="en-US"/>
        </w:rPr>
        <w:fldChar w:fldCharType="end"/>
      </w:r>
      <w:r w:rsidRPr="00595FD7">
        <w:rPr>
          <w:rFonts w:eastAsiaTheme="minorHAnsi"/>
          <w:color w:val="auto"/>
          <w:lang w:eastAsia="en-US"/>
        </w:rPr>
        <w:t>.</w:t>
      </w:r>
    </w:p>
    <w:p w14:paraId="0F877E9A" w14:textId="77777777" w:rsidR="00595FD7" w:rsidRPr="00595FD7" w:rsidRDefault="00595FD7" w:rsidP="00595FD7">
      <w:pPr>
        <w:spacing w:after="160" w:line="360" w:lineRule="auto"/>
        <w:ind w:left="0" w:right="0" w:firstLine="0"/>
        <w:rPr>
          <w:rFonts w:eastAsiaTheme="minorHAnsi"/>
          <w:color w:val="auto"/>
          <w:lang w:eastAsia="en-US"/>
        </w:rPr>
      </w:pPr>
      <w:r w:rsidRPr="00595FD7">
        <w:rPr>
          <w:rFonts w:eastAsiaTheme="minorHAnsi"/>
          <w:color w:val="auto"/>
          <w:lang w:eastAsia="en-US"/>
        </w:rPr>
        <w:t>Para as diferentes cultivares</w:t>
      </w:r>
      <w:r w:rsidR="00181954">
        <w:rPr>
          <w:rFonts w:eastAsiaTheme="minorHAnsi"/>
          <w:color w:val="auto"/>
          <w:lang w:eastAsia="en-US"/>
        </w:rPr>
        <w:t xml:space="preserve"> e ecótipos</w:t>
      </w:r>
      <w:r w:rsidRPr="00595FD7">
        <w:rPr>
          <w:rFonts w:eastAsiaTheme="minorHAnsi"/>
          <w:color w:val="auto"/>
          <w:lang w:eastAsia="en-US"/>
        </w:rPr>
        <w:t xml:space="preserve"> quantificaram-se fenóis totais na polpa e na casca separadamente.</w:t>
      </w:r>
    </w:p>
    <w:p w14:paraId="5C10881A" w14:textId="77777777" w:rsidR="00595FD7" w:rsidRDefault="00595FD7" w:rsidP="00676F1F">
      <w:pPr>
        <w:keepNext/>
        <w:jc w:val="center"/>
      </w:pPr>
      <w:r>
        <w:rPr>
          <w:noProof/>
        </w:rPr>
        <w:lastRenderedPageBreak/>
        <w:drawing>
          <wp:inline distT="0" distB="0" distL="0" distR="0" wp14:anchorId="00474D40" wp14:editId="151E7D86">
            <wp:extent cx="4572000" cy="27432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1422318" w14:textId="5BC561D1" w:rsidR="00595FD7" w:rsidRPr="00595FD7" w:rsidRDefault="00595FD7" w:rsidP="00676F1F">
      <w:pPr>
        <w:pStyle w:val="Legenda"/>
        <w:tabs>
          <w:tab w:val="left" w:pos="7513"/>
        </w:tabs>
        <w:ind w:right="-1"/>
        <w:rPr>
          <w:rFonts w:eastAsiaTheme="minorHAnsi"/>
          <w:color w:val="auto"/>
          <w:sz w:val="20"/>
          <w:szCs w:val="20"/>
          <w:lang w:eastAsia="en-US"/>
        </w:rPr>
      </w:pPr>
      <w:bookmarkStart w:id="306" w:name="_Toc479333896"/>
      <w:r>
        <w:t xml:space="preserve">Figura </w:t>
      </w:r>
      <w:r w:rsidR="00805B44">
        <w:fldChar w:fldCharType="begin"/>
      </w:r>
      <w:r w:rsidR="00805B44">
        <w:instrText xml:space="preserve"> SEQ Figura \* ARABIC </w:instrText>
      </w:r>
      <w:r w:rsidR="00805B44">
        <w:fldChar w:fldCharType="separate"/>
      </w:r>
      <w:r w:rsidR="005F28B4">
        <w:rPr>
          <w:noProof/>
        </w:rPr>
        <w:t>21</w:t>
      </w:r>
      <w:r w:rsidR="00805B44">
        <w:rPr>
          <w:noProof/>
        </w:rPr>
        <w:fldChar w:fldCharType="end"/>
      </w:r>
      <w:proofErr w:type="gramStart"/>
      <w:r w:rsidR="009A72E6">
        <w:t xml:space="preserve"> </w:t>
      </w:r>
      <w:r>
        <w:t xml:space="preserve"> </w:t>
      </w:r>
      <w:proofErr w:type="gramEnd"/>
      <w:r w:rsidRPr="006C2067">
        <w:rPr>
          <w:rFonts w:eastAsiaTheme="minorHAnsi"/>
          <w:i w:val="0"/>
          <w:color w:val="auto"/>
          <w:sz w:val="22"/>
          <w:lang w:eastAsia="en-US"/>
        </w:rPr>
        <w:t xml:space="preserve">– </w:t>
      </w:r>
      <w:r w:rsidRPr="00181954">
        <w:rPr>
          <w:rFonts w:eastAsiaTheme="minorHAnsi"/>
          <w:i w:val="0"/>
          <w:color w:val="auto"/>
          <w:sz w:val="20"/>
          <w:lang w:eastAsia="en-US"/>
        </w:rPr>
        <w:t xml:space="preserve">Teor de fenóis totais </w:t>
      </w:r>
      <w:r w:rsidRPr="006C2067">
        <w:rPr>
          <w:rFonts w:eastAsiaTheme="minorHAnsi"/>
          <w:i w:val="0"/>
          <w:color w:val="auto"/>
          <w:sz w:val="20"/>
          <w:szCs w:val="20"/>
          <w:lang w:eastAsia="en-US"/>
        </w:rPr>
        <w:t xml:space="preserve">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 xml:space="preserve">05). As duas barras com NS, * ou *** no topo não são significativamente diferentes ou são significativamente diferentes para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 ou P &lt;0.01</w:t>
      </w:r>
      <w:r w:rsidRPr="00595FD7">
        <w:rPr>
          <w:rFonts w:eastAsiaTheme="minorHAnsi"/>
          <w:color w:val="auto"/>
          <w:sz w:val="20"/>
          <w:szCs w:val="20"/>
          <w:lang w:eastAsia="en-US"/>
        </w:rPr>
        <w:t>.</w:t>
      </w:r>
      <w:bookmarkEnd w:id="306"/>
    </w:p>
    <w:p w14:paraId="6148F46F" w14:textId="77777777" w:rsidR="00595FD7" w:rsidRDefault="00595FD7" w:rsidP="00595FD7">
      <w:pPr>
        <w:pStyle w:val="Legenda"/>
        <w:rPr>
          <w:rFonts w:eastAsiaTheme="minorHAnsi"/>
          <w:lang w:eastAsia="en-US"/>
        </w:rPr>
      </w:pPr>
    </w:p>
    <w:p w14:paraId="46D62050" w14:textId="3A48F55A" w:rsidR="007F723B" w:rsidRP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t xml:space="preserve">Na casca o ecótipo/cultivar que apresentou maior quantidade de fenóis foi o ecótipo ‘verde’ seguiram-se as cultivares ‘Rosso’ e ‘Gialla’, mas sem diferenças significativas entre todos estes valores de fenóis. </w:t>
      </w:r>
      <w:r w:rsidR="00D0005E">
        <w:rPr>
          <w:rFonts w:eastAsiaTheme="minorHAnsi"/>
          <w:color w:val="auto"/>
          <w:lang w:eastAsia="en-US"/>
        </w:rPr>
        <w:t xml:space="preserve">O ecótipo ‘laranja’ </w:t>
      </w:r>
      <w:r w:rsidR="009D57AB">
        <w:rPr>
          <w:rFonts w:eastAsiaTheme="minorHAnsi"/>
          <w:color w:val="auto"/>
          <w:lang w:eastAsia="en-US"/>
        </w:rPr>
        <w:t xml:space="preserve">teve </w:t>
      </w:r>
      <w:r w:rsidRPr="007F723B">
        <w:rPr>
          <w:rFonts w:eastAsiaTheme="minorHAnsi"/>
          <w:color w:val="auto"/>
          <w:lang w:eastAsia="en-US"/>
        </w:rPr>
        <w:t xml:space="preserve">significativamente menor quantidade de fenóis na casca do que </w:t>
      </w:r>
      <w:r w:rsidR="00C055E8">
        <w:rPr>
          <w:rFonts w:eastAsiaTheme="minorHAnsi"/>
          <w:color w:val="auto"/>
          <w:lang w:eastAsia="en-US"/>
        </w:rPr>
        <w:t xml:space="preserve">o ecótipo ‘verde’ e a </w:t>
      </w:r>
      <w:r w:rsidRPr="007F723B">
        <w:rPr>
          <w:rFonts w:eastAsiaTheme="minorHAnsi"/>
          <w:color w:val="auto"/>
          <w:lang w:eastAsia="en-US"/>
        </w:rPr>
        <w:t>cultivar</w:t>
      </w:r>
      <w:r w:rsidR="00C055E8">
        <w:rPr>
          <w:rFonts w:eastAsiaTheme="minorHAnsi"/>
          <w:color w:val="auto"/>
          <w:lang w:eastAsia="en-US"/>
        </w:rPr>
        <w:t xml:space="preserve"> ‘Rosso’</w:t>
      </w:r>
      <w:r w:rsidRPr="007F723B">
        <w:rPr>
          <w:rFonts w:eastAsiaTheme="minorHAnsi"/>
          <w:color w:val="auto"/>
          <w:lang w:eastAsia="en-US"/>
        </w:rPr>
        <w:t xml:space="preserve"> (Fig</w:t>
      </w:r>
      <w:r w:rsidR="004C183F">
        <w:rPr>
          <w:rFonts w:eastAsiaTheme="minorHAnsi"/>
          <w:color w:val="auto"/>
          <w:lang w:eastAsia="en-US"/>
        </w:rPr>
        <w:t>ura</w:t>
      </w:r>
      <w:r w:rsidRPr="007F723B">
        <w:rPr>
          <w:rFonts w:eastAsiaTheme="minorHAnsi"/>
          <w:color w:val="auto"/>
          <w:lang w:eastAsia="en-US"/>
        </w:rPr>
        <w:t xml:space="preserve"> 21). </w:t>
      </w:r>
      <w:r w:rsidR="009057D9">
        <w:rPr>
          <w:rFonts w:eastAsiaTheme="minorHAnsi"/>
          <w:color w:val="auto"/>
          <w:lang w:eastAsia="en-US"/>
        </w:rPr>
        <w:t xml:space="preserve">Os valores </w:t>
      </w:r>
      <w:r w:rsidR="009D57AB">
        <w:rPr>
          <w:rFonts w:eastAsiaTheme="minorHAnsi"/>
          <w:color w:val="auto"/>
          <w:lang w:eastAsia="en-US"/>
        </w:rPr>
        <w:t xml:space="preserve">fenóis </w:t>
      </w:r>
      <w:r w:rsidR="009057D9">
        <w:rPr>
          <w:rFonts w:eastAsiaTheme="minorHAnsi"/>
          <w:color w:val="auto"/>
          <w:lang w:eastAsia="en-US"/>
        </w:rPr>
        <w:t xml:space="preserve">da cultivar ‘Rosso’ e do ecótipo </w:t>
      </w:r>
      <w:r w:rsidR="009D57AB">
        <w:rPr>
          <w:rFonts w:eastAsiaTheme="minorHAnsi"/>
          <w:color w:val="auto"/>
          <w:lang w:eastAsia="en-US"/>
        </w:rPr>
        <w:t>‘</w:t>
      </w:r>
      <w:r w:rsidR="009057D9">
        <w:rPr>
          <w:rFonts w:eastAsiaTheme="minorHAnsi"/>
          <w:color w:val="auto"/>
          <w:lang w:eastAsia="en-US"/>
        </w:rPr>
        <w:t>verde</w:t>
      </w:r>
      <w:r w:rsidR="009D57AB">
        <w:rPr>
          <w:rFonts w:eastAsiaTheme="minorHAnsi"/>
          <w:color w:val="auto"/>
          <w:lang w:eastAsia="en-US"/>
        </w:rPr>
        <w:t>’</w:t>
      </w:r>
      <w:r w:rsidR="009057D9">
        <w:rPr>
          <w:rFonts w:eastAsiaTheme="minorHAnsi"/>
          <w:color w:val="auto"/>
          <w:lang w:eastAsia="en-US"/>
        </w:rPr>
        <w:t xml:space="preserve"> encontra</w:t>
      </w:r>
      <w:r w:rsidR="009D57AB">
        <w:rPr>
          <w:rFonts w:eastAsiaTheme="minorHAnsi"/>
          <w:color w:val="auto"/>
          <w:lang w:eastAsia="en-US"/>
        </w:rPr>
        <w:t>dos</w:t>
      </w:r>
      <w:r w:rsidR="00762264">
        <w:rPr>
          <w:rFonts w:eastAsiaTheme="minorHAnsi"/>
          <w:color w:val="auto"/>
          <w:lang w:eastAsia="en-US"/>
        </w:rPr>
        <w:t xml:space="preserve"> </w:t>
      </w:r>
      <w:r w:rsidR="009D57AB">
        <w:rPr>
          <w:rFonts w:eastAsiaTheme="minorHAnsi"/>
          <w:color w:val="auto"/>
          <w:lang w:eastAsia="en-US"/>
        </w:rPr>
        <w:t>neste estudo são</w:t>
      </w:r>
      <w:r w:rsidR="009057D9">
        <w:rPr>
          <w:rFonts w:eastAsiaTheme="minorHAnsi"/>
          <w:color w:val="auto"/>
          <w:lang w:eastAsia="en-US"/>
        </w:rPr>
        <w:t xml:space="preserve"> </w:t>
      </w:r>
      <w:r w:rsidR="009D57AB">
        <w:rPr>
          <w:rFonts w:eastAsiaTheme="minorHAnsi"/>
          <w:color w:val="auto"/>
          <w:lang w:eastAsia="en-US"/>
        </w:rPr>
        <w:t xml:space="preserve">superiores </w:t>
      </w:r>
      <w:r w:rsidR="00BE6EE7">
        <w:rPr>
          <w:rFonts w:eastAsiaTheme="minorHAnsi"/>
          <w:color w:val="auto"/>
          <w:lang w:eastAsia="en-US"/>
        </w:rPr>
        <w:t>2.50 mg/g e 2.90</w:t>
      </w:r>
      <w:r w:rsidR="00DC5888">
        <w:rPr>
          <w:rFonts w:eastAsiaTheme="minorHAnsi"/>
          <w:color w:val="auto"/>
          <w:lang w:eastAsia="en-US"/>
        </w:rPr>
        <w:t xml:space="preserve"> mg/g</w:t>
      </w:r>
      <w:r w:rsidR="00BE6EE7">
        <w:rPr>
          <w:rFonts w:eastAsiaTheme="minorHAnsi"/>
          <w:color w:val="auto"/>
          <w:lang w:eastAsia="en-US"/>
        </w:rPr>
        <w:t xml:space="preserve">, respetivamente, </w:t>
      </w:r>
      <w:r w:rsidR="00DC5888">
        <w:rPr>
          <w:rFonts w:eastAsiaTheme="minorHAnsi"/>
          <w:color w:val="auto"/>
          <w:lang w:eastAsia="en-US"/>
        </w:rPr>
        <w:t>como</w:t>
      </w:r>
      <w:r w:rsidR="009057D9">
        <w:rPr>
          <w:rFonts w:eastAsiaTheme="minorHAnsi"/>
          <w:color w:val="auto"/>
          <w:lang w:eastAsia="en-US"/>
        </w:rPr>
        <w:t xml:space="preserve"> </w:t>
      </w:r>
      <w:r w:rsidR="009D57AB">
        <w:rPr>
          <w:rFonts w:eastAsiaTheme="minorHAnsi"/>
          <w:color w:val="auto"/>
          <w:lang w:eastAsia="en-US"/>
        </w:rPr>
        <w:t xml:space="preserve">referido </w:t>
      </w:r>
      <w:r w:rsidR="009057D9">
        <w:rPr>
          <w:rFonts w:eastAsiaTheme="minorHAnsi"/>
          <w:color w:val="auto"/>
          <w:lang w:eastAsia="en-US"/>
        </w:rPr>
        <w:t xml:space="preserve">por </w:t>
      </w:r>
      <w:r w:rsidR="00C055E8">
        <w:rPr>
          <w:rFonts w:eastAsiaTheme="minorHAnsi"/>
          <w:color w:val="auto"/>
          <w:lang w:eastAsia="en-US"/>
        </w:rPr>
        <w:fldChar w:fldCharType="begin" w:fldLock="1"/>
      </w:r>
      <w:r w:rsidR="00C055E8">
        <w:rPr>
          <w:rFonts w:eastAsiaTheme="minorHAnsi"/>
          <w:color w:val="auto"/>
          <w:lang w:eastAsia="en-US"/>
        </w:rPr>
        <w:instrText>ADDIN CSL_CITATION { "citationItems" : [ { "id" : "ITEM-1", "itemData" : { "DOI" : "10.3390/antiox2020037", "ISBN" : "2169850570", "ISSN" : "2076-3921", "author" : [ { "dropping-particle" : "", "family" : "Yeddes", "given" : "Nizar", "non-dropping-particle" : "", "parse-names" : false, "suffix" : "" }, { "dropping-particle" : "", "family" : "Ch\u00e9rif", "given" : "Jamila", "non-dropping-particle" : "", "parse-names" : false, "suffix" : "" }, { "dropping-particle" : "", "family" : "Guyot", "given" : "Sylvain", "non-dropping-particle" : "", "parse-names" : false, "suffix" : "" }, { "dropping-particle" : "", "family" : "Sotin", "given" : "H\u00e9l\u00e8ne", "non-dropping-particle" : "", "parse-names" : false, "suffix" : "" }, { "dropping-particle" : "", "family" : "Ayadi", "given" : "Malika", "non-dropping-particle" : "", "parse-names" : false, "suffix" : "" } ], "container-title" : "Antioxidants", "id" : "ITEM-1", "issue" : "2", "issued" : { "date-parts" : [ [ "2013" ] ] }, "page" : "37-51", "title" : "Comparative Study of Antioxidant Power, Polyphenols, Flavonoids and Betacyanins of the Peel and Pulp of Three Tunisian Opuntia Forms", "type" : "article-journal", "volume" : "2" }, "uris" : [ "http://www.mendeley.com/documents/?uuid=4c0ac7ba-d866-4b7b-ad8d-540fcbc4d34e" ] } ], "mendeley" : { "formattedCitation" : "(Yeddes, Ch\u00e9rif, Guyot, Sotin, &amp; Ayadi, 2013)", "manualFormatting" : "Yeddes et al., (2013)", "plainTextFormattedCitation" : "(Yeddes, Ch\u00e9rif, Guyot, Sotin, &amp; Ayadi, 2013)", "previouslyFormattedCitation" : "(Yeddes, Ch\u00e9rif, Guyot, Sotin, &amp; Ayadi, 2013)" }, "properties" : { "noteIndex" : 0 }, "schema" : "https://github.com/citation-style-language/schema/raw/master/csl-citation.json" }</w:instrText>
      </w:r>
      <w:r w:rsidR="00C055E8">
        <w:rPr>
          <w:rFonts w:eastAsiaTheme="minorHAnsi"/>
          <w:color w:val="auto"/>
          <w:lang w:eastAsia="en-US"/>
        </w:rPr>
        <w:fldChar w:fldCharType="separate"/>
      </w:r>
      <w:r w:rsidR="00C055E8" w:rsidRPr="009057D9">
        <w:rPr>
          <w:rFonts w:eastAsiaTheme="minorHAnsi"/>
          <w:noProof/>
          <w:color w:val="auto"/>
          <w:lang w:eastAsia="en-US"/>
        </w:rPr>
        <w:t>Yedde</w:t>
      </w:r>
      <w:r w:rsidR="00C055E8">
        <w:rPr>
          <w:rFonts w:eastAsiaTheme="minorHAnsi"/>
          <w:noProof/>
          <w:color w:val="auto"/>
          <w:lang w:eastAsia="en-US"/>
        </w:rPr>
        <w:t>s et al.</w:t>
      </w:r>
      <w:r w:rsidR="00C055E8" w:rsidRPr="009057D9">
        <w:rPr>
          <w:rFonts w:eastAsiaTheme="minorHAnsi"/>
          <w:noProof/>
          <w:color w:val="auto"/>
          <w:lang w:eastAsia="en-US"/>
        </w:rPr>
        <w:t xml:space="preserve">, </w:t>
      </w:r>
      <w:r w:rsidR="00C055E8">
        <w:rPr>
          <w:rFonts w:eastAsiaTheme="minorHAnsi"/>
          <w:noProof/>
          <w:color w:val="auto"/>
          <w:lang w:eastAsia="en-US"/>
        </w:rPr>
        <w:t>(</w:t>
      </w:r>
      <w:r w:rsidR="00C055E8" w:rsidRPr="009057D9">
        <w:rPr>
          <w:rFonts w:eastAsiaTheme="minorHAnsi"/>
          <w:noProof/>
          <w:color w:val="auto"/>
          <w:lang w:eastAsia="en-US"/>
        </w:rPr>
        <w:t>2013)</w:t>
      </w:r>
      <w:r w:rsidR="00C055E8">
        <w:rPr>
          <w:rFonts w:eastAsiaTheme="minorHAnsi"/>
          <w:color w:val="auto"/>
          <w:lang w:eastAsia="en-US"/>
        </w:rPr>
        <w:fldChar w:fldCharType="end"/>
      </w:r>
      <w:r w:rsidR="00C055E8">
        <w:rPr>
          <w:rFonts w:eastAsiaTheme="minorHAnsi"/>
          <w:color w:val="auto"/>
          <w:lang w:eastAsia="en-US"/>
        </w:rPr>
        <w:t>. E n</w:t>
      </w:r>
      <w:r w:rsidR="009D57AB">
        <w:rPr>
          <w:rFonts w:eastAsiaTheme="minorHAnsi"/>
          <w:color w:val="auto"/>
          <w:lang w:eastAsia="en-US"/>
        </w:rPr>
        <w:t xml:space="preserve">a cultivar ‘Gialla’ e ‘laranja’ </w:t>
      </w:r>
      <w:r w:rsidR="00CF14F3">
        <w:rPr>
          <w:rFonts w:eastAsiaTheme="minorHAnsi"/>
          <w:color w:val="auto"/>
          <w:lang w:eastAsia="en-US"/>
        </w:rPr>
        <w:t xml:space="preserve"> </w:t>
      </w:r>
      <w:r w:rsidR="00C055E8">
        <w:rPr>
          <w:rFonts w:eastAsiaTheme="minorHAnsi"/>
          <w:color w:val="auto"/>
          <w:lang w:eastAsia="en-US"/>
        </w:rPr>
        <w:t xml:space="preserve">os valores são </w:t>
      </w:r>
      <w:r w:rsidR="00012FCA">
        <w:rPr>
          <w:rFonts w:eastAsiaTheme="minorHAnsi"/>
          <w:color w:val="auto"/>
          <w:lang w:eastAsia="en-US"/>
        </w:rPr>
        <w:t>inferiores a 457</w:t>
      </w:r>
      <w:r w:rsidR="00CA71F2">
        <w:rPr>
          <w:rFonts w:eastAsiaTheme="minorHAnsi"/>
          <w:color w:val="auto"/>
          <w:lang w:eastAsia="en-US"/>
        </w:rPr>
        <w:t xml:space="preserve"> </w:t>
      </w:r>
      <w:r w:rsidR="00012FCA">
        <w:rPr>
          <w:rFonts w:eastAsiaTheme="minorHAnsi"/>
          <w:color w:val="auto"/>
          <w:lang w:eastAsia="en-US"/>
        </w:rPr>
        <w:t xml:space="preserve">mg/g </w:t>
      </w:r>
      <w:r w:rsidR="00C055E8">
        <w:rPr>
          <w:rFonts w:eastAsiaTheme="minorHAnsi"/>
          <w:color w:val="auto"/>
          <w:lang w:eastAsia="en-US"/>
        </w:rPr>
        <w:t xml:space="preserve">referidos por </w:t>
      </w:r>
      <w:r w:rsidR="00CF14F3">
        <w:rPr>
          <w:rFonts w:eastAsiaTheme="minorHAnsi"/>
          <w:color w:val="auto"/>
          <w:lang w:eastAsia="en-US"/>
        </w:rPr>
        <w:fldChar w:fldCharType="begin" w:fldLock="1"/>
      </w:r>
      <w:r w:rsidR="00CF14F3">
        <w:rPr>
          <w:rFonts w:eastAsiaTheme="minorHAnsi"/>
          <w:color w:val="auto"/>
          <w:lang w:eastAsia="en-US"/>
        </w:rPr>
        <w:instrText>ADDIN CSL_CITATION { "citationItems" : [ { "id" : "ITEM-1", "itemData" : { "DOI" : "10.3390/molecules190914879", "ISSN" : "14203049", "PMID" : "25232708", "abstract" : "Opuntia ficus-indica, commonly referred to as prickly pear or nopal cactus, is a dicotyledonous angiosperm plant. It belongs to the Cactaceae family and is characterized by its remarkable adaptation to arid and semi-arid climates in tropical and subtropical regions of the globe. In the last decade, compelling evidence for the nutritional and health benefit potential of this cactus has been provided by academic scientists and private companies. Notably, its rich composition in polyphenols, vitamins, polyunsaturated fatty acids and amino acids has been highlighted through the use of a large panel of extraction methods. The identified natural cactus compounds and derivatives were shown to be endowed with biologically relevant activities including anti-inflammatory, antioxidant, hypoglycemic, antimicrobial and neuroprotective properties. The present review is aimed at stressing the major classes of cactus components and their medical interest through emphasis on some of their biological effects, particularly those having the most promising expected health benefit and therapeutic impacts.", "author" : [ { "dropping-particle" : "", "family" : "El-Mostafa", "given" : "Karym", "non-dropping-particle" : "", "parse-names" : false, "suffix" : "" }, { "dropping-particle" : "", "family" : "Kharrassi", "given" : "Youssef", "non-dropping-particle" : "El", "parse-names" : false, "suffix" : "" }, { "dropping-particle" : "", "family" : "Badreddine", "given" : "Asmaa", "non-dropping-particle" : "", "parse-names" : false, "suffix" : "" }, { "dropping-particle" : "", "family" : "Andreoletti", "given" : "Pierre", "non-dropping-particle" : "", "parse-names" : false, "suffix" : "" }, { "dropping-particle" : "", "family" : "Vamecq", "given" : "Joseph", "non-dropping-particle" : "", "parse-names" : false, "suffix" : "" }, { "dropping-particle" : "", "family" : "Kebbaj", "given" : "M'hammed Sa??d", "non-dropping-particle" : "El", "parse-names" : false, "suffix" : "" }, { "dropping-particle" : "", "family" : "Latruffe", "given" : "Norbert", "non-dropping-particle" : "", "parse-names" : false, "suffix" : "" }, { "dropping-particle" : "", "family" : "Lizard", "given" : "G??rard", "non-dropping-particle" : "", "parse-names" : false, "suffix" : "" }, { "dropping-particle" : "", "family" : "Nasser", "given" : "Boubker", "non-dropping-particle" : "", "parse-names" : false, "suffix" : "" }, { "dropping-particle" : "", "family" : "Cherkaoui-Malki", "given" : "Mustapha", "non-dropping-particle" : "", "parse-names" : false, "suffix" : "" } ], "container-title" : "Molecules", "id" : "ITEM-1", "issue" : "9", "issued" : { "date-parts" : [ [ "2014" ] ] }, "page" : "14879-14901", "title" : "Nopal cactus (Opuntia ficus-indica) as a source of bioactive compounds for nutrition, health and disease", "type" : "article-journal", "volume" : "19" }, "uris" : [ "http://www.mendeley.com/documents/?uuid=4f415b30-95a8-4a6f-b098-a424dc5fee0d" ] } ], "mendeley" : { "formattedCitation" : "(El-Mostafa et al., 2014)", "manualFormatting" : "El-Mostafa et al., (2014)", "plainTextFormattedCitation" : "(El-Mostafa et al., 2014)", "previouslyFormattedCitation" : "(El-Mostafa et al., 2014)" }, "properties" : { "noteIndex" : 0 }, "schema" : "https://github.com/citation-style-language/schema/raw/master/csl-citation.json" }</w:instrText>
      </w:r>
      <w:r w:rsidR="00CF14F3">
        <w:rPr>
          <w:rFonts w:eastAsiaTheme="minorHAnsi"/>
          <w:color w:val="auto"/>
          <w:lang w:eastAsia="en-US"/>
        </w:rPr>
        <w:fldChar w:fldCharType="separate"/>
      </w:r>
      <w:r w:rsidR="00CF14F3" w:rsidRPr="00CF14F3">
        <w:rPr>
          <w:rFonts w:eastAsiaTheme="minorHAnsi"/>
          <w:noProof/>
          <w:color w:val="auto"/>
          <w:lang w:eastAsia="en-US"/>
        </w:rPr>
        <w:t xml:space="preserve">El-Mostafa et al., </w:t>
      </w:r>
      <w:r w:rsidR="00CF14F3">
        <w:rPr>
          <w:rFonts w:eastAsiaTheme="minorHAnsi"/>
          <w:noProof/>
          <w:color w:val="auto"/>
          <w:lang w:eastAsia="en-US"/>
        </w:rPr>
        <w:t>(</w:t>
      </w:r>
      <w:r w:rsidR="00CF14F3" w:rsidRPr="00CF14F3">
        <w:rPr>
          <w:rFonts w:eastAsiaTheme="minorHAnsi"/>
          <w:noProof/>
          <w:color w:val="auto"/>
          <w:lang w:eastAsia="en-US"/>
        </w:rPr>
        <w:t>2014)</w:t>
      </w:r>
      <w:r w:rsidR="00CF14F3">
        <w:rPr>
          <w:rFonts w:eastAsiaTheme="minorHAnsi"/>
          <w:color w:val="auto"/>
          <w:lang w:eastAsia="en-US"/>
        </w:rPr>
        <w:fldChar w:fldCharType="end"/>
      </w:r>
      <w:r w:rsidR="00C055E8">
        <w:rPr>
          <w:rFonts w:eastAsiaTheme="minorHAnsi"/>
          <w:color w:val="auto"/>
          <w:lang w:eastAsia="en-US"/>
        </w:rPr>
        <w:t>.</w:t>
      </w:r>
    </w:p>
    <w:p w14:paraId="1FA28823" w14:textId="11B59184" w:rsidR="007F723B" w:rsidRP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t xml:space="preserve">No caso da polpa o ecótipo ‘verde’ continuou a ter maior quantidade de fenóis registando resultados superiores </w:t>
      </w:r>
      <w:r w:rsidR="00205D95">
        <w:rPr>
          <w:rFonts w:eastAsiaTheme="minorHAnsi"/>
          <w:color w:val="auto"/>
          <w:lang w:eastAsia="en-US"/>
        </w:rPr>
        <w:t>a 0.45 ± 0.006 mg/g e 0.09 ±0.03 mg/g como</w:t>
      </w:r>
      <w:r w:rsidRPr="007F723B">
        <w:rPr>
          <w:rFonts w:eastAsiaTheme="minorHAnsi"/>
          <w:color w:val="auto"/>
          <w:lang w:eastAsia="en-US"/>
        </w:rPr>
        <w:t xml:space="preserve"> apresentado por </w:t>
      </w:r>
      <w:r w:rsidRPr="007F723B">
        <w:rPr>
          <w:rFonts w:eastAsiaTheme="minorHAnsi"/>
          <w:color w:val="auto"/>
          <w:lang w:eastAsia="en-US"/>
        </w:rPr>
        <w:fldChar w:fldCharType="begin" w:fldLock="1"/>
      </w:r>
      <w:r w:rsidRPr="007F723B">
        <w:rPr>
          <w:rFonts w:eastAsiaTheme="minorHAnsi"/>
          <w:color w:val="auto"/>
          <w:lang w:eastAsia="en-US"/>
        </w:rPr>
        <w:instrText>ADDIN CSL_CITATION { "citationItems" : [ { "id" : "ITEM-1",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"ITEM-1", "issued" : { "date-parts" : [ [ "2007" ] ] }, "page" : "38-45", "title" : "Chemical characterization of Opuntia dillenii and Opuntia ficus indica fruits", "type" : "article-journal", "volume" : "103" }, "uris" : [ "http://www.mendeley.com/documents/?uuid=76f175b1-c4eb-4f47-859a-ba2cc4bf2692" ] } ], "mendeley" : { "formattedCitation" : "(Medina et al., 2007)", "manualFormatting" : " Medina et al. (2007", "plainTextFormattedCitation" : "(Medina et al., 2007)", "previouslyFormattedCitation" : "(Medina et al., 2007)" }, "properties" : { "noteIndex" : 0 }, "schema" : "https://github.com/citation-style-language/schema/raw/master/csl-citation.json" }</w:instrText>
      </w:r>
      <w:r w:rsidRPr="007F723B">
        <w:rPr>
          <w:rFonts w:eastAsiaTheme="minorHAnsi"/>
          <w:color w:val="auto"/>
          <w:lang w:eastAsia="en-US"/>
        </w:rPr>
        <w:fldChar w:fldCharType="separate"/>
      </w:r>
      <w:r w:rsidRPr="007F723B">
        <w:rPr>
          <w:rFonts w:eastAsiaTheme="minorHAnsi"/>
          <w:noProof/>
          <w:color w:val="auto"/>
          <w:lang w:eastAsia="en-US"/>
        </w:rPr>
        <w:t xml:space="preserve"> Medina et al. (2007</w:t>
      </w:r>
      <w:r w:rsidRPr="007F723B">
        <w:rPr>
          <w:rFonts w:eastAsiaTheme="minorHAnsi"/>
          <w:color w:val="auto"/>
          <w:lang w:eastAsia="en-US"/>
        </w:rPr>
        <w:fldChar w:fldCharType="end"/>
      </w:r>
      <w:r w:rsidRPr="007F723B">
        <w:rPr>
          <w:rFonts w:eastAsiaTheme="minorHAnsi"/>
          <w:color w:val="auto"/>
          <w:lang w:eastAsia="en-US"/>
        </w:rPr>
        <w:t>)</w:t>
      </w:r>
      <w:r w:rsidR="00AE059F">
        <w:rPr>
          <w:rFonts w:eastAsiaTheme="minorHAnsi"/>
          <w:color w:val="auto"/>
          <w:lang w:eastAsia="en-US"/>
        </w:rPr>
        <w:t xml:space="preserve"> e por </w:t>
      </w:r>
      <w:r w:rsidR="007E0D79">
        <w:rPr>
          <w:rFonts w:eastAsiaTheme="minorHAnsi"/>
          <w:color w:val="auto"/>
          <w:lang w:eastAsia="en-US"/>
        </w:rPr>
        <w:fldChar w:fldCharType="begin" w:fldLock="1"/>
      </w:r>
      <w:r w:rsidR="00BD1ECB">
        <w:rPr>
          <w:rFonts w:eastAsiaTheme="minorHAnsi"/>
          <w:color w:val="auto"/>
          <w:lang w:eastAsia="en-US"/>
        </w:rPr>
        <w:instrText>ADDIN CSL_CITATION { "citationItems" : [ { "id" : "ITEM-1", "itemData" : { "author" : [ { "dropping-particle" : "", "family" : "Miranda", "given" : "Sofia Alexandra Duate", "non-dropping-particle" : "", "parse-names" : false, "suffix" : "" } ], "id" : "ITEM-1", "issued" : { "date-parts" : [ [ "2014" ] ] }, "number-of-pages" : "1-37", "publisher" : "Universidade de Atl\u00e2ntica", "title" : "Caracteriza\u00e7\u00e3o nutricional e funcional de tr\u00eas variedades portuguesas de figo de piteira", "type" : "thesis" }, "uris" : [ "http://www.mendeley.com/documents/?uuid=10dfe05a-d8de-4fb8-a1e9-b6cb2323ea16" ] } ], "mendeley" : { "formattedCitation" : "(Miranda, 2014)", "manualFormatting" : " Miranda, (2014)", "plainTextFormattedCitation" : "(Miranda, 2014)", "previouslyFormattedCitation" : "(Miranda, 2014)" }, "properties" : { "noteIndex" : 0 }, "schema" : "https://github.com/citation-style-language/schema/raw/master/csl-citation.json" }</w:instrText>
      </w:r>
      <w:r w:rsidR="007E0D79">
        <w:rPr>
          <w:rFonts w:eastAsiaTheme="minorHAnsi"/>
          <w:color w:val="auto"/>
          <w:lang w:eastAsia="en-US"/>
        </w:rPr>
        <w:fldChar w:fldCharType="separate"/>
      </w:r>
      <w:r w:rsidR="009C1BE2">
        <w:rPr>
          <w:rFonts w:eastAsiaTheme="minorHAnsi"/>
          <w:noProof/>
          <w:color w:val="auto"/>
          <w:lang w:eastAsia="en-US"/>
        </w:rPr>
        <w:t xml:space="preserve"> </w:t>
      </w:r>
      <w:r w:rsidR="007E0D79" w:rsidRPr="007E0D79">
        <w:rPr>
          <w:rFonts w:eastAsiaTheme="minorHAnsi"/>
          <w:noProof/>
          <w:color w:val="auto"/>
          <w:lang w:eastAsia="en-US"/>
        </w:rPr>
        <w:t xml:space="preserve">Miranda, </w:t>
      </w:r>
      <w:r w:rsidR="009C1BE2">
        <w:rPr>
          <w:rFonts w:eastAsiaTheme="minorHAnsi"/>
          <w:noProof/>
          <w:color w:val="auto"/>
          <w:lang w:eastAsia="en-US"/>
        </w:rPr>
        <w:t>(</w:t>
      </w:r>
      <w:r w:rsidR="007E0D79" w:rsidRPr="007E0D79">
        <w:rPr>
          <w:rFonts w:eastAsiaTheme="minorHAnsi"/>
          <w:noProof/>
          <w:color w:val="auto"/>
          <w:lang w:eastAsia="en-US"/>
        </w:rPr>
        <w:t>2014)</w:t>
      </w:r>
      <w:r w:rsidR="007E0D79">
        <w:rPr>
          <w:rFonts w:eastAsiaTheme="minorHAnsi"/>
          <w:color w:val="auto"/>
          <w:lang w:eastAsia="en-US"/>
        </w:rPr>
        <w:fldChar w:fldCharType="end"/>
      </w:r>
      <w:r w:rsidR="00205D95">
        <w:rPr>
          <w:rFonts w:eastAsiaTheme="minorHAnsi"/>
          <w:color w:val="auto"/>
          <w:lang w:eastAsia="en-US"/>
        </w:rPr>
        <w:t>,</w:t>
      </w:r>
      <w:r w:rsidR="00A007F6">
        <w:rPr>
          <w:rFonts w:eastAsiaTheme="minorHAnsi"/>
          <w:color w:val="auto"/>
          <w:lang w:eastAsia="en-US"/>
        </w:rPr>
        <w:t xml:space="preserve"> </w:t>
      </w:r>
      <w:r w:rsidR="0030708C">
        <w:rPr>
          <w:rFonts w:eastAsiaTheme="minorHAnsi"/>
          <w:color w:val="auto"/>
          <w:lang w:eastAsia="en-US"/>
        </w:rPr>
        <w:t>respetivamente</w:t>
      </w:r>
      <w:r w:rsidRPr="007F723B">
        <w:rPr>
          <w:rFonts w:eastAsiaTheme="minorHAnsi"/>
          <w:color w:val="auto"/>
          <w:lang w:eastAsia="en-US"/>
        </w:rPr>
        <w:t>. Seguiu-se a cultivar ‘Gialla’ com valores que não diferiram significativamente dos primeiros</w:t>
      </w:r>
      <w:r w:rsidR="00A007F6">
        <w:rPr>
          <w:rFonts w:eastAsiaTheme="minorHAnsi"/>
          <w:color w:val="auto"/>
          <w:lang w:eastAsia="en-US"/>
        </w:rPr>
        <w:t>, nem do</w:t>
      </w:r>
      <w:r w:rsidRPr="007F723B">
        <w:rPr>
          <w:rFonts w:eastAsiaTheme="minorHAnsi"/>
          <w:color w:val="auto"/>
          <w:lang w:eastAsia="en-US"/>
        </w:rPr>
        <w:t>s teores mais baixos encontrados na cultivar ‘Rosso’ e ecótipo ‘laranja’</w:t>
      </w:r>
      <w:r w:rsidR="00A007F6">
        <w:rPr>
          <w:rFonts w:eastAsiaTheme="minorHAnsi"/>
          <w:color w:val="auto"/>
          <w:lang w:eastAsia="en-US"/>
        </w:rPr>
        <w:t>.</w:t>
      </w:r>
      <w:r w:rsidRPr="007F723B">
        <w:rPr>
          <w:rFonts w:eastAsiaTheme="minorHAnsi"/>
          <w:color w:val="auto"/>
          <w:lang w:eastAsia="en-US"/>
        </w:rPr>
        <w:t xml:space="preserve"> </w:t>
      </w:r>
      <w:r w:rsidR="00A007F6">
        <w:rPr>
          <w:rFonts w:eastAsiaTheme="minorHAnsi"/>
          <w:color w:val="auto"/>
          <w:lang w:eastAsia="en-US"/>
        </w:rPr>
        <w:t xml:space="preserve">Estes </w:t>
      </w:r>
      <w:r w:rsidR="00F635E3">
        <w:rPr>
          <w:rFonts w:eastAsiaTheme="minorHAnsi"/>
          <w:color w:val="auto"/>
          <w:lang w:eastAsia="en-US"/>
        </w:rPr>
        <w:t>valores</w:t>
      </w:r>
      <w:r w:rsidR="00A007F6">
        <w:rPr>
          <w:rFonts w:eastAsiaTheme="minorHAnsi"/>
          <w:color w:val="auto"/>
          <w:lang w:eastAsia="en-US"/>
        </w:rPr>
        <w:t xml:space="preserve"> apresentados foram superiores aos 0.23 ±0.001 mg/</w:t>
      </w:r>
      <w:r w:rsidR="00A007F6" w:rsidRPr="00A007F6">
        <w:rPr>
          <w:rFonts w:eastAsiaTheme="minorHAnsi"/>
          <w:color w:val="auto"/>
          <w:lang w:eastAsia="en-US"/>
        </w:rPr>
        <w:t xml:space="preserve"> </w:t>
      </w:r>
      <w:r w:rsidR="00A007F6">
        <w:rPr>
          <w:rFonts w:eastAsiaTheme="minorHAnsi"/>
          <w:color w:val="auto"/>
          <w:lang w:eastAsia="en-US"/>
        </w:rPr>
        <w:t>g referidos n</w:t>
      </w:r>
      <w:r w:rsidR="003051F0">
        <w:rPr>
          <w:rFonts w:eastAsiaTheme="minorHAnsi"/>
          <w:color w:val="auto"/>
          <w:lang w:eastAsia="en-US"/>
        </w:rPr>
        <w:t xml:space="preserve">a pesquisa de </w:t>
      </w:r>
      <w:r w:rsidR="003051F0">
        <w:rPr>
          <w:rFonts w:eastAsiaTheme="minorHAnsi"/>
          <w:color w:val="auto"/>
          <w:lang w:eastAsia="en-US"/>
        </w:rPr>
        <w:fldChar w:fldCharType="begin" w:fldLock="1"/>
      </w:r>
      <w:r w:rsidR="009A0846">
        <w:rPr>
          <w:rFonts w:eastAsiaTheme="minorHAnsi"/>
          <w:color w:val="auto"/>
          <w:lang w:eastAsia="en-US"/>
        </w:rPr>
        <w:instrText>ADDIN CSL_CITATION { "citationItems" : [ { "id" : "ITEM-1", "itemData" : { "author" : [ { "dropping-particle" : "", "family" : "Souza", "given" : "Rosane Li\u00e9ge Alves", "non-dropping-particle" : "", "parse-names" : false, "suffix" : "" }, { "dropping-particle" : "", "family" : "Correia", "given" : "Roberta Targino Pinto", "non-dropping-particle" : "", "parse-names" : false, "suffix" : "" } ], "container-title" : "Braz food Nutr", "id" : "ITEM-1", "issue" : "4", "issued" : { "date-parts" : [ [ "2013" ] ] }, "page" : "369-377", "title" : "Physicochemical and bioactive characterization of the Indian Fig Cactus ( Opuntia ficus-indica ) fruit and mesquite ( Prosopis juliflora ) flour and sensory assessment of derived products", "type" : "article-journal", "volume" : "24" }, "uris" : [ "http://www.mendeley.com/documents/?uuid=eaabb6f5-f0ae-46f1-b00f-375eaef125e2" ] } ], "mendeley" : { "formattedCitation" : "(Souza &amp; Correia, 2013)", "manualFormatting" : "Souza &amp; Correia, (2013", "plainTextFormattedCitation" : "(Souza &amp; Correia, 2013)", "previouslyFormattedCitation" : "(Souza &amp; Correia, 2013)" }, "properties" : { "noteIndex" : 0 }, "schema" : "https://github.com/citation-style-language/schema/raw/master/csl-citation.json" }</w:instrText>
      </w:r>
      <w:r w:rsidR="003051F0">
        <w:rPr>
          <w:rFonts w:eastAsiaTheme="minorHAnsi"/>
          <w:color w:val="auto"/>
          <w:lang w:eastAsia="en-US"/>
        </w:rPr>
        <w:fldChar w:fldCharType="separate"/>
      </w:r>
      <w:r w:rsidR="003051F0" w:rsidRPr="003051F0">
        <w:rPr>
          <w:rFonts w:eastAsiaTheme="minorHAnsi"/>
          <w:noProof/>
          <w:color w:val="auto"/>
          <w:lang w:eastAsia="en-US"/>
        </w:rPr>
        <w:t xml:space="preserve">Souza &amp; Correia, </w:t>
      </w:r>
      <w:r w:rsidR="009D57AB">
        <w:rPr>
          <w:rFonts w:eastAsiaTheme="minorHAnsi"/>
          <w:noProof/>
          <w:color w:val="auto"/>
          <w:lang w:eastAsia="en-US"/>
        </w:rPr>
        <w:t>(</w:t>
      </w:r>
      <w:r w:rsidR="003051F0" w:rsidRPr="003051F0">
        <w:rPr>
          <w:rFonts w:eastAsiaTheme="minorHAnsi"/>
          <w:noProof/>
          <w:color w:val="auto"/>
          <w:lang w:eastAsia="en-US"/>
        </w:rPr>
        <w:t>2013</w:t>
      </w:r>
      <w:r w:rsidR="003051F0">
        <w:rPr>
          <w:rFonts w:eastAsiaTheme="minorHAnsi"/>
          <w:color w:val="auto"/>
          <w:lang w:eastAsia="en-US"/>
        </w:rPr>
        <w:fldChar w:fldCharType="end"/>
      </w:r>
      <w:r w:rsidR="009D57AB">
        <w:rPr>
          <w:rFonts w:eastAsiaTheme="minorHAnsi"/>
          <w:color w:val="auto"/>
          <w:lang w:eastAsia="en-US"/>
        </w:rPr>
        <w:t>)</w:t>
      </w:r>
      <w:r w:rsidR="00A007F6">
        <w:rPr>
          <w:rFonts w:eastAsiaTheme="minorHAnsi"/>
          <w:color w:val="auto"/>
          <w:lang w:eastAsia="en-US"/>
        </w:rPr>
        <w:t>.</w:t>
      </w:r>
      <w:r w:rsidRPr="007F723B">
        <w:rPr>
          <w:rFonts w:eastAsiaTheme="minorHAnsi"/>
          <w:color w:val="auto"/>
          <w:lang w:eastAsia="en-US"/>
        </w:rPr>
        <w:t xml:space="preserve"> Estes apresentam</w:t>
      </w:r>
      <w:r w:rsidR="0030708C">
        <w:rPr>
          <w:rFonts w:eastAsiaTheme="minorHAnsi"/>
          <w:color w:val="auto"/>
          <w:lang w:eastAsia="en-US"/>
        </w:rPr>
        <w:t xml:space="preserve"> também</w:t>
      </w:r>
      <w:r w:rsidRPr="007F723B">
        <w:rPr>
          <w:rFonts w:eastAsiaTheme="minorHAnsi"/>
          <w:color w:val="auto"/>
          <w:lang w:eastAsia="en-US"/>
        </w:rPr>
        <w:t xml:space="preserve"> valores inferiores aos referidos por </w:t>
      </w:r>
      <w:r w:rsidRPr="007F723B">
        <w:rPr>
          <w:rFonts w:eastAsiaTheme="minorHAnsi"/>
          <w:color w:val="auto"/>
          <w:lang w:eastAsia="en-US"/>
        </w:rPr>
        <w:fldChar w:fldCharType="begin" w:fldLock="1"/>
      </w:r>
      <w:r w:rsidR="009A0846">
        <w:rPr>
          <w:rFonts w:eastAsiaTheme="minorHAnsi"/>
          <w:color w:val="auto"/>
          <w:lang w:eastAsia="en-US"/>
        </w:rPr>
        <w:instrText>ADDIN CSL_CITATION { "citationItems" : [ { "id" : "ITEM-1",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"ITEM-1", "issued" : { "date-parts" : [ [ "2007" ] ] }, "page" : "38-45", "title" : "Chemical characterization of Opuntia dillenii and Opuntia ficus indica fruits", "type" : "article-journal", "volume" : "103" }, "uris" : [ "http://www.mendeley.com/documents/?uuid=76f175b1-c4eb-4f47-859a-ba2cc4bf2692" ] } ], "mendeley" : { "formattedCitation" : "(Medina et al., 2007)", "manualFormatting" : " Medina et al., (2007", "plainTextFormattedCitation" : "(Medina et al., 2007)", "previouslyFormattedCitation" : "(Medina et al., 2007)" }, "properties" : { "noteIndex" : 0 }, "schema" : "https://github.com/citation-style-language/schema/raw/master/csl-citation.json" }</w:instrText>
      </w:r>
      <w:r w:rsidRPr="007F723B">
        <w:rPr>
          <w:rFonts w:eastAsiaTheme="minorHAnsi"/>
          <w:color w:val="auto"/>
          <w:lang w:eastAsia="en-US"/>
        </w:rPr>
        <w:fldChar w:fldCharType="separate"/>
      </w:r>
      <w:r w:rsidRPr="007F723B">
        <w:rPr>
          <w:rFonts w:eastAsiaTheme="minorHAnsi"/>
          <w:noProof/>
          <w:color w:val="auto"/>
          <w:lang w:eastAsia="en-US"/>
        </w:rPr>
        <w:t xml:space="preserve"> Medina et al., </w:t>
      </w:r>
      <w:r w:rsidR="009D57AB">
        <w:rPr>
          <w:rFonts w:eastAsiaTheme="minorHAnsi"/>
          <w:noProof/>
          <w:color w:val="auto"/>
          <w:lang w:eastAsia="en-US"/>
        </w:rPr>
        <w:t>(</w:t>
      </w:r>
      <w:r w:rsidRPr="007F723B">
        <w:rPr>
          <w:rFonts w:eastAsiaTheme="minorHAnsi"/>
          <w:noProof/>
          <w:color w:val="auto"/>
          <w:lang w:eastAsia="en-US"/>
        </w:rPr>
        <w:t>2007</w:t>
      </w:r>
      <w:r w:rsidRPr="007F723B">
        <w:rPr>
          <w:rFonts w:eastAsiaTheme="minorHAnsi"/>
          <w:color w:val="auto"/>
          <w:lang w:eastAsia="en-US"/>
        </w:rPr>
        <w:fldChar w:fldCharType="end"/>
      </w:r>
      <w:r w:rsidR="009D57AB">
        <w:rPr>
          <w:rFonts w:eastAsiaTheme="minorHAnsi"/>
          <w:color w:val="auto"/>
          <w:lang w:eastAsia="en-US"/>
        </w:rPr>
        <w:t>)</w:t>
      </w:r>
      <w:r w:rsidR="0030708C">
        <w:rPr>
          <w:rFonts w:eastAsiaTheme="minorHAnsi"/>
          <w:color w:val="auto"/>
          <w:lang w:eastAsia="en-US"/>
        </w:rPr>
        <w:t xml:space="preserve"> para o ecótipo ‘laranja’ (0.454 ± 0.004 mg/g). </w:t>
      </w:r>
    </w:p>
    <w:p w14:paraId="394D6FD8" w14:textId="77777777" w:rsidR="007F723B" w:rsidRP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lastRenderedPageBreak/>
        <w:t>Em comparação com a polpa, a casca apresenta significativamente maior de quantidades de fenóis totais (</w:t>
      </w:r>
      <w:proofErr w:type="gramStart"/>
      <w:r w:rsidRPr="007F723B">
        <w:rPr>
          <w:rFonts w:eastAsiaTheme="minorHAnsi"/>
          <w:color w:val="auto"/>
          <w:lang w:eastAsia="en-US"/>
        </w:rPr>
        <w:t>p&lt;0.</w:t>
      </w:r>
      <w:proofErr w:type="gramEnd"/>
      <w:r w:rsidRPr="007F723B">
        <w:rPr>
          <w:rFonts w:eastAsiaTheme="minorHAnsi"/>
          <w:color w:val="auto"/>
          <w:lang w:eastAsia="en-US"/>
        </w:rPr>
        <w:t>05).</w:t>
      </w:r>
    </w:p>
    <w:p w14:paraId="6AC89618" w14:textId="77777777" w:rsidR="006C2067" w:rsidRDefault="006C2067" w:rsidP="006A36D8">
      <w:pPr>
        <w:ind w:left="0" w:firstLine="0"/>
        <w:rPr>
          <w:rFonts w:eastAsiaTheme="minorHAnsi"/>
          <w:lang w:eastAsia="en-US"/>
        </w:rPr>
      </w:pPr>
    </w:p>
    <w:p w14:paraId="3CD57D9B" w14:textId="728A4357" w:rsidR="00044165" w:rsidRDefault="007F723B" w:rsidP="007F723B">
      <w:pPr>
        <w:pStyle w:val="Cabealho4"/>
        <w:rPr>
          <w:rFonts w:ascii="Times New Roman" w:hAnsi="Times New Roman" w:cs="Times New Roman"/>
          <w:i w:val="0"/>
          <w:color w:val="auto"/>
          <w:lang w:eastAsia="en-US"/>
        </w:rPr>
      </w:pPr>
      <w:bookmarkStart w:id="307" w:name="_Toc479154869"/>
      <w:bookmarkStart w:id="308" w:name="_Toc462709795"/>
      <w:r w:rsidRPr="007F723B">
        <w:rPr>
          <w:rFonts w:ascii="Times New Roman" w:hAnsi="Times New Roman" w:cs="Times New Roman"/>
          <w:i w:val="0"/>
          <w:color w:val="auto"/>
          <w:lang w:eastAsia="en-US"/>
        </w:rPr>
        <w:t xml:space="preserve">3.1.2.2 </w:t>
      </w:r>
      <w:proofErr w:type="gramStart"/>
      <w:r w:rsidR="00044165">
        <w:rPr>
          <w:rFonts w:ascii="Times New Roman" w:hAnsi="Times New Roman" w:cs="Times New Roman"/>
          <w:i w:val="0"/>
          <w:color w:val="auto"/>
          <w:lang w:eastAsia="en-US"/>
        </w:rPr>
        <w:t>Actividade</w:t>
      </w:r>
      <w:proofErr w:type="gramEnd"/>
      <w:r w:rsidR="00044165">
        <w:rPr>
          <w:rFonts w:ascii="Times New Roman" w:hAnsi="Times New Roman" w:cs="Times New Roman"/>
          <w:i w:val="0"/>
          <w:color w:val="auto"/>
          <w:lang w:eastAsia="en-US"/>
        </w:rPr>
        <w:t xml:space="preserve"> </w:t>
      </w:r>
      <w:proofErr w:type="gramStart"/>
      <w:r w:rsidR="00044165">
        <w:rPr>
          <w:rFonts w:ascii="Times New Roman" w:hAnsi="Times New Roman" w:cs="Times New Roman"/>
          <w:i w:val="0"/>
          <w:color w:val="auto"/>
          <w:lang w:eastAsia="en-US"/>
        </w:rPr>
        <w:t>antioxidante</w:t>
      </w:r>
      <w:bookmarkEnd w:id="307"/>
      <w:proofErr w:type="gramEnd"/>
    </w:p>
    <w:p w14:paraId="2C3314C0" w14:textId="413EDC3F" w:rsidR="007F723B" w:rsidRPr="007F723B" w:rsidRDefault="00044165" w:rsidP="007F723B">
      <w:pPr>
        <w:pStyle w:val="Cabealho4"/>
        <w:rPr>
          <w:rFonts w:ascii="Times New Roman" w:hAnsi="Times New Roman" w:cs="Times New Roman"/>
          <w:i w:val="0"/>
          <w:color w:val="auto"/>
          <w:lang w:eastAsia="en-US"/>
        </w:rPr>
      </w:pPr>
      <w:bookmarkStart w:id="309" w:name="_Toc479154870"/>
      <w:r>
        <w:rPr>
          <w:rFonts w:ascii="Times New Roman" w:hAnsi="Times New Roman" w:cs="Times New Roman"/>
          <w:i w:val="0"/>
          <w:color w:val="auto"/>
          <w:lang w:eastAsia="en-US"/>
        </w:rPr>
        <w:t xml:space="preserve">3.1.2.2.1. Método </w:t>
      </w:r>
      <w:r w:rsidR="007F723B" w:rsidRPr="007F723B">
        <w:rPr>
          <w:rFonts w:ascii="Times New Roman" w:hAnsi="Times New Roman" w:cs="Times New Roman"/>
          <w:i w:val="0"/>
          <w:color w:val="auto"/>
          <w:lang w:eastAsia="en-US"/>
        </w:rPr>
        <w:t>TEAC</w:t>
      </w:r>
      <w:bookmarkEnd w:id="308"/>
      <w:bookmarkEnd w:id="309"/>
    </w:p>
    <w:p w14:paraId="3EAFD14F" w14:textId="77777777" w:rsidR="007F723B" w:rsidRPr="007F723B" w:rsidRDefault="007F723B" w:rsidP="007F723B">
      <w:pPr>
        <w:rPr>
          <w:rFonts w:eastAsiaTheme="minorHAnsi"/>
          <w:lang w:eastAsia="en-US"/>
        </w:rPr>
      </w:pPr>
    </w:p>
    <w:p w14:paraId="0E80CC1D" w14:textId="66E4AB24" w:rsidR="007F723B" w:rsidRPr="007F723B" w:rsidRDefault="007F723B" w:rsidP="007F723B">
      <w:pPr>
        <w:spacing w:after="160" w:line="360" w:lineRule="auto"/>
        <w:ind w:left="0" w:right="0" w:firstLine="0"/>
        <w:rPr>
          <w:rFonts w:eastAsiaTheme="minorHAnsi"/>
          <w:color w:val="auto"/>
          <w:szCs w:val="24"/>
          <w:lang w:eastAsia="en-US"/>
        </w:rPr>
      </w:pPr>
      <w:r w:rsidRPr="007F723B">
        <w:rPr>
          <w:rFonts w:eastAsiaTheme="minorHAnsi"/>
          <w:color w:val="auto"/>
          <w:szCs w:val="24"/>
          <w:lang w:eastAsia="en-US"/>
        </w:rPr>
        <w:t>Este ensaio baseia-se na eliminação do ABTS</w:t>
      </w:r>
      <w:r w:rsidRPr="007F723B">
        <w:rPr>
          <w:rFonts w:ascii="Calibri" w:eastAsiaTheme="minorHAnsi" w:hAnsi="Calibri"/>
          <w:color w:val="auto"/>
          <w:szCs w:val="24"/>
          <w:lang w:eastAsia="en-US"/>
        </w:rPr>
        <w:t>·</w:t>
      </w:r>
      <w:r w:rsidRPr="007F723B">
        <w:rPr>
          <w:rFonts w:eastAsiaTheme="minorHAnsi"/>
          <w:color w:val="auto"/>
          <w:szCs w:val="24"/>
          <w:lang w:eastAsia="en-US"/>
        </w:rPr>
        <w:t xml:space="preserve"> convertendo-o num produto incolor </w:t>
      </w:r>
      <w:r w:rsidRPr="007F723B">
        <w:rPr>
          <w:rFonts w:eastAsiaTheme="minorHAnsi"/>
          <w:color w:val="auto"/>
          <w:szCs w:val="24"/>
          <w:lang w:eastAsia="en-US"/>
        </w:rPr>
        <w:fldChar w:fldCharType="begin" w:fldLock="1"/>
      </w:r>
      <w:r w:rsidRPr="007F723B">
        <w:rPr>
          <w:rFonts w:eastAsiaTheme="minorHAnsi"/>
          <w:color w:val="auto"/>
          <w:szCs w:val="24"/>
          <w:lang w:eastAsia="en-US"/>
        </w:rPr>
        <w:instrText>ADDIN CSL_CITATION { "citationItems" : [ { "id" : "ITEM-1", "itemData" : { "DOI" : "doi:10.1016/j.fct.2003.08.004", "abstract" : "The Trolox Equivalent Antioxidant Capacity (TEAC) assay is based on the scavenging of the 2,2\u2032-azinobis-(3-ethylbenzothiazoline-6-sulfonic acid) (ABTS) radical (ABTS\u2022) converting it into a colorless product. The degree of decolorization induced by a compound is related to that induced by trolox, giving the TEAC value. The assay is frequently used for constructing structure activity relationships (SARs). HPLC analysis of the reaction mixture, obtained after scavenging of ABTS\u2022 by the flavonoid chrysin, shows that a product is formed that also reacts with ABTS\u2022. The product has a higher antioxidant capacity and reacts faster with ABTS\u2022 than the parent compound, chrysin. In contrast to the reaction product of chrysin, the reaction product of trolox, which is formed during scavenging of ABTS\u2022, i.e. trolox quinone, does not react with ABTS\u2022. The experiments show that the TEAC is the antioxidant capacity of the parent compound plus the potential antioxidant capacity of the reaction product(s). This means that the TEAC assay does not necessarily reflect the antioxidant effect of only one structure. This hampers the applicability of the assay for the construction of SARs and for ranking antioxidants.", "author" : [ { "dropping-particle" : "", "family" : "Arts", "given" : "Mariken J.T.J", "non-dropping-particle" : "", "parse-names" : false, "suffix" : "" }, { "dropping-particle" : "", "family" : "Haenen", "given" : "Guido R.M.M", "non-dropping-particle" : "", "parse-names" : false, "suffix" : "" }, { "dropping-particle" : "", "family" : "Voss", "given" : "Hans-Peter", "non-dropping-particle" : "", "parse-names" : false, "suffix" : "" }, { "dropping-particle" : "", "family" : "Bast", "given" : "Aalt", "non-dropping-particle" : "", "parse-names" : false, "suffix" : "" } ], "container-title" : "Food and Chemical Toxicology", "id" : "ITEM-1", "issue" : "1", "issued" : { "date-parts" : [ [ "2004" ] ] }, "page" : "45-49", "title" : "Antioxidant capacity of reaction products limits the applicability of the Trolox Equivalent Antioxidant Capacity (TEAC) assay", "type" : "article-journal", "volume" : "42" }, "uris" : [ "http://www.mendeley.com/documents/?uuid=b1b33f03-9acc-4095-81c2-2b4c7991bc96" ] } ], "mendeley" : { "formattedCitation" : "(Arts et al., 2004)", "plainTextFormattedCitation" : "(Arts et al., 2004)", "previouslyFormattedCitation" : "(Arts et al., 2004)" }, "properties" : { "noteIndex" : 0 }, "schema" : "https://github.com/citation-style-language/schema/raw/master/csl-citation.json" }</w:instrText>
      </w:r>
      <w:r w:rsidRPr="007F723B">
        <w:rPr>
          <w:rFonts w:eastAsiaTheme="minorHAnsi"/>
          <w:color w:val="auto"/>
          <w:szCs w:val="24"/>
          <w:lang w:eastAsia="en-US"/>
        </w:rPr>
        <w:fldChar w:fldCharType="separate"/>
      </w:r>
      <w:r w:rsidRPr="007F723B">
        <w:rPr>
          <w:rFonts w:eastAsiaTheme="minorHAnsi"/>
          <w:noProof/>
          <w:color w:val="auto"/>
          <w:szCs w:val="24"/>
          <w:lang w:eastAsia="en-US"/>
        </w:rPr>
        <w:t>(Arts et al., 2004)</w:t>
      </w:r>
      <w:r w:rsidRPr="007F723B">
        <w:rPr>
          <w:rFonts w:eastAsiaTheme="minorHAnsi"/>
          <w:color w:val="auto"/>
          <w:szCs w:val="24"/>
          <w:lang w:eastAsia="en-US"/>
        </w:rPr>
        <w:fldChar w:fldCharType="end"/>
      </w:r>
      <w:r w:rsidRPr="007F723B">
        <w:rPr>
          <w:rFonts w:eastAsiaTheme="minorHAnsi"/>
          <w:color w:val="auto"/>
          <w:szCs w:val="24"/>
          <w:lang w:eastAsia="en-US"/>
        </w:rPr>
        <w:t>. Na c</w:t>
      </w:r>
      <w:r w:rsidR="005C4B66">
        <w:rPr>
          <w:rFonts w:eastAsiaTheme="minorHAnsi"/>
          <w:color w:val="auto"/>
          <w:szCs w:val="24"/>
          <w:lang w:eastAsia="en-US"/>
        </w:rPr>
        <w:t>asca a cultivar ‘Rosso’ (5.77 ± 0.61</w:t>
      </w:r>
      <w:r w:rsidR="00181954">
        <w:rPr>
          <w:rFonts w:eastAsiaTheme="minorHAnsi"/>
          <w:color w:val="auto"/>
          <w:szCs w:val="24"/>
          <w:lang w:eastAsia="en-US"/>
        </w:rPr>
        <w:t xml:space="preserve"> </w:t>
      </w:r>
      <w:r w:rsidR="0030708C">
        <w:rPr>
          <w:rFonts w:eastAsiaTheme="minorHAnsi"/>
          <w:color w:val="auto"/>
          <w:szCs w:val="24"/>
          <w:lang w:eastAsia="en-US"/>
        </w:rPr>
        <w:t>m</w:t>
      </w:r>
      <w:r w:rsidRPr="007F723B">
        <w:rPr>
          <w:rFonts w:eastAsiaTheme="minorHAnsi"/>
          <w:color w:val="auto"/>
          <w:szCs w:val="24"/>
          <w:lang w:eastAsia="en-US"/>
        </w:rPr>
        <w:t>mol/g)</w:t>
      </w:r>
      <w:r w:rsidRPr="007F723B" w:rsidDel="00BA0B24">
        <w:rPr>
          <w:rFonts w:eastAsiaTheme="minorHAnsi"/>
          <w:color w:val="auto"/>
          <w:szCs w:val="24"/>
          <w:lang w:eastAsia="en-US"/>
        </w:rPr>
        <w:t xml:space="preserve"> </w:t>
      </w:r>
      <w:r w:rsidRPr="007F723B">
        <w:rPr>
          <w:rFonts w:eastAsiaTheme="minorHAnsi"/>
          <w:color w:val="auto"/>
          <w:szCs w:val="24"/>
          <w:lang w:eastAsia="en-US"/>
        </w:rPr>
        <w:t xml:space="preserve">apresentou maior atividade antioxidante, </w:t>
      </w:r>
      <w:r w:rsidR="00AA7FF1">
        <w:rPr>
          <w:rFonts w:eastAsiaTheme="minorHAnsi"/>
          <w:color w:val="auto"/>
          <w:szCs w:val="24"/>
          <w:lang w:eastAsia="en-US"/>
        </w:rPr>
        <w:t xml:space="preserve">seguiram-se </w:t>
      </w:r>
      <w:r w:rsidRPr="007F723B">
        <w:rPr>
          <w:rFonts w:eastAsiaTheme="minorHAnsi"/>
          <w:color w:val="auto"/>
          <w:szCs w:val="24"/>
          <w:lang w:eastAsia="en-US"/>
        </w:rPr>
        <w:t xml:space="preserve">com </w:t>
      </w:r>
      <w:r w:rsidR="00AA7FF1">
        <w:rPr>
          <w:rFonts w:eastAsiaTheme="minorHAnsi"/>
          <w:color w:val="auto"/>
          <w:szCs w:val="24"/>
          <w:lang w:eastAsia="en-US"/>
        </w:rPr>
        <w:t>atividade</w:t>
      </w:r>
      <w:r w:rsidR="00AA7FF1" w:rsidRPr="007F723B">
        <w:rPr>
          <w:rFonts w:eastAsiaTheme="minorHAnsi"/>
          <w:color w:val="auto"/>
          <w:szCs w:val="24"/>
          <w:lang w:eastAsia="en-US"/>
        </w:rPr>
        <w:t xml:space="preserve"> </w:t>
      </w:r>
      <w:r w:rsidR="00770C44">
        <w:rPr>
          <w:rFonts w:eastAsiaTheme="minorHAnsi"/>
          <w:color w:val="auto"/>
          <w:szCs w:val="24"/>
          <w:lang w:eastAsia="en-US"/>
        </w:rPr>
        <w:t>que não distinta a</w:t>
      </w:r>
      <w:r w:rsidRPr="007F723B">
        <w:rPr>
          <w:rFonts w:eastAsiaTheme="minorHAnsi"/>
          <w:color w:val="auto"/>
          <w:szCs w:val="24"/>
          <w:lang w:eastAsia="en-US"/>
        </w:rPr>
        <w:t xml:space="preserve"> cultiv</w:t>
      </w:r>
      <w:r w:rsidR="00181954">
        <w:rPr>
          <w:rFonts w:eastAsiaTheme="minorHAnsi"/>
          <w:color w:val="auto"/>
          <w:szCs w:val="24"/>
          <w:lang w:eastAsia="en-US"/>
        </w:rPr>
        <w:t>ar ‘Gialla</w:t>
      </w:r>
      <w:r w:rsidR="007A4ADB">
        <w:rPr>
          <w:rFonts w:eastAsiaTheme="minorHAnsi"/>
          <w:color w:val="auto"/>
          <w:szCs w:val="24"/>
          <w:lang w:eastAsia="en-US"/>
        </w:rPr>
        <w:t>’ (</w:t>
      </w:r>
      <w:r w:rsidR="005C4B66">
        <w:rPr>
          <w:rFonts w:eastAsiaTheme="minorHAnsi"/>
          <w:color w:val="auto"/>
          <w:szCs w:val="24"/>
          <w:lang w:eastAsia="en-US"/>
        </w:rPr>
        <w:t>5.35</w:t>
      </w:r>
      <w:r w:rsidR="00181954">
        <w:rPr>
          <w:rFonts w:eastAsiaTheme="minorHAnsi"/>
          <w:color w:val="auto"/>
          <w:szCs w:val="24"/>
          <w:lang w:eastAsia="en-US"/>
        </w:rPr>
        <w:t xml:space="preserve"> </w:t>
      </w:r>
      <w:r w:rsidR="00181954" w:rsidRPr="007F723B">
        <w:rPr>
          <w:rFonts w:eastAsiaTheme="minorHAnsi"/>
          <w:color w:val="auto"/>
          <w:szCs w:val="24"/>
          <w:lang w:eastAsia="en-US"/>
        </w:rPr>
        <w:t xml:space="preserve">± </w:t>
      </w:r>
      <w:r w:rsidR="005C4B66">
        <w:rPr>
          <w:rFonts w:eastAsiaTheme="minorHAnsi"/>
          <w:color w:val="auto"/>
          <w:szCs w:val="24"/>
          <w:lang w:eastAsia="en-US"/>
        </w:rPr>
        <w:t>1.17</w:t>
      </w:r>
      <w:r w:rsidR="00181954" w:rsidRPr="007F723B">
        <w:rPr>
          <w:rFonts w:eastAsiaTheme="minorHAnsi"/>
          <w:color w:val="auto"/>
          <w:szCs w:val="24"/>
          <w:lang w:eastAsia="en-US"/>
        </w:rPr>
        <w:t xml:space="preserve"> mmol/g</w:t>
      </w:r>
      <w:r w:rsidR="00181954">
        <w:rPr>
          <w:rFonts w:eastAsiaTheme="minorHAnsi"/>
          <w:color w:val="auto"/>
          <w:szCs w:val="24"/>
          <w:lang w:eastAsia="en-US"/>
        </w:rPr>
        <w:t xml:space="preserve">) e o ecótipo </w:t>
      </w:r>
      <w:r w:rsidR="005C4B66">
        <w:rPr>
          <w:rFonts w:eastAsiaTheme="minorHAnsi"/>
          <w:color w:val="auto"/>
          <w:szCs w:val="24"/>
          <w:lang w:eastAsia="en-US"/>
        </w:rPr>
        <w:t>‘verde’ (3.91 ± 1.54</w:t>
      </w:r>
      <w:r w:rsidRPr="007F723B">
        <w:rPr>
          <w:rFonts w:eastAsiaTheme="minorHAnsi"/>
          <w:color w:val="auto"/>
          <w:szCs w:val="24"/>
          <w:lang w:eastAsia="en-US"/>
        </w:rPr>
        <w:t xml:space="preserve"> mmol/g), não havendo diferenças significativas entre estas cultivares</w:t>
      </w:r>
      <w:r w:rsidR="004274E9">
        <w:rPr>
          <w:rFonts w:eastAsiaTheme="minorHAnsi"/>
          <w:color w:val="auto"/>
          <w:szCs w:val="24"/>
          <w:lang w:eastAsia="en-US"/>
        </w:rPr>
        <w:t xml:space="preserve"> </w:t>
      </w:r>
      <w:r w:rsidR="00770C44">
        <w:rPr>
          <w:rFonts w:eastAsiaTheme="minorHAnsi"/>
          <w:color w:val="auto"/>
          <w:szCs w:val="24"/>
          <w:lang w:eastAsia="en-US"/>
        </w:rPr>
        <w:t xml:space="preserve">e </w:t>
      </w:r>
      <w:r w:rsidRPr="007F723B">
        <w:rPr>
          <w:rFonts w:eastAsiaTheme="minorHAnsi"/>
          <w:color w:val="auto"/>
          <w:szCs w:val="24"/>
          <w:lang w:eastAsia="en-US"/>
        </w:rPr>
        <w:t>ecótipo. Com menor capacidade antioxidante apresentou-s</w:t>
      </w:r>
      <w:r w:rsidR="005C4B66">
        <w:rPr>
          <w:rFonts w:eastAsiaTheme="minorHAnsi"/>
          <w:color w:val="auto"/>
          <w:szCs w:val="24"/>
          <w:lang w:eastAsia="en-US"/>
        </w:rPr>
        <w:t xml:space="preserve">e </w:t>
      </w:r>
      <w:r w:rsidR="00770C44">
        <w:rPr>
          <w:rFonts w:eastAsiaTheme="minorHAnsi"/>
          <w:color w:val="auto"/>
          <w:szCs w:val="24"/>
          <w:lang w:eastAsia="en-US"/>
        </w:rPr>
        <w:t>o ecótipo</w:t>
      </w:r>
      <w:r w:rsidR="005C4B66">
        <w:rPr>
          <w:rFonts w:eastAsiaTheme="minorHAnsi"/>
          <w:color w:val="auto"/>
          <w:szCs w:val="24"/>
          <w:lang w:eastAsia="en-US"/>
        </w:rPr>
        <w:t xml:space="preserve"> ‘laranja’ (2.56 ± 1.31</w:t>
      </w:r>
      <w:r w:rsidR="004C183F">
        <w:rPr>
          <w:rFonts w:eastAsiaTheme="minorHAnsi"/>
          <w:color w:val="auto"/>
          <w:szCs w:val="24"/>
          <w:lang w:eastAsia="en-US"/>
        </w:rPr>
        <w:t xml:space="preserve"> mmol/g) (Figura 22).</w:t>
      </w:r>
    </w:p>
    <w:p w14:paraId="7E233425" w14:textId="0388B660" w:rsidR="007F723B" w:rsidRPr="007F723B" w:rsidRDefault="007A4ADB" w:rsidP="007F723B">
      <w:pPr>
        <w:spacing w:after="160" w:line="360" w:lineRule="auto"/>
        <w:ind w:left="0" w:right="0" w:firstLine="0"/>
        <w:rPr>
          <w:rFonts w:eastAsiaTheme="minorHAnsi"/>
          <w:color w:val="auto"/>
          <w:lang w:eastAsia="en-US"/>
        </w:rPr>
      </w:pPr>
      <w:r>
        <w:rPr>
          <w:rFonts w:eastAsiaTheme="minorHAnsi"/>
          <w:color w:val="auto"/>
          <w:lang w:eastAsia="en-US"/>
        </w:rPr>
        <w:t xml:space="preserve">Na </w:t>
      </w:r>
      <w:r w:rsidR="007F723B" w:rsidRPr="007F723B">
        <w:rPr>
          <w:rFonts w:eastAsiaTheme="minorHAnsi"/>
          <w:color w:val="auto"/>
          <w:lang w:eastAsia="en-US"/>
        </w:rPr>
        <w:t>polpa, as cultivares/ecótipos não apresentaram diferenças na capacidade antioxidante determinada pelo método TEAC. Os valores da atividade antioxidante apresentados pelos diferentes ecótipos/cultivares</w:t>
      </w:r>
      <w:r w:rsidR="002D32B8">
        <w:rPr>
          <w:rFonts w:eastAsiaTheme="minorHAnsi"/>
          <w:color w:val="auto"/>
          <w:lang w:eastAsia="en-US"/>
        </w:rPr>
        <w:t xml:space="preserve">, ‘laranja’, ‘Rosso’ e ‘verde’ </w:t>
      </w:r>
      <w:r w:rsidR="007F723B" w:rsidRPr="007F723B">
        <w:rPr>
          <w:rFonts w:eastAsiaTheme="minorHAnsi"/>
          <w:color w:val="auto"/>
          <w:lang w:eastAsia="en-US"/>
        </w:rPr>
        <w:t xml:space="preserve">foram todos superiores aos referidos por </w:t>
      </w:r>
      <w:r w:rsidR="007F723B" w:rsidRPr="007F723B">
        <w:rPr>
          <w:rFonts w:eastAsiaTheme="minorHAnsi"/>
          <w:color w:val="auto"/>
          <w:lang w:eastAsia="en-US"/>
        </w:rPr>
        <w:fldChar w:fldCharType="begin" w:fldLock="1"/>
      </w:r>
      <w:r w:rsidR="007F723B" w:rsidRPr="007F723B">
        <w:rPr>
          <w:rFonts w:eastAsiaTheme="minorHAnsi"/>
          <w:color w:val="auto"/>
          <w:lang w:eastAsia="en-US"/>
        </w:rPr>
        <w:instrText>ADDIN CSL_CITATION { "citationItems" : [ { "id" : "ITEM-1", "itemData" : { "DOI" : "10.1021/jf048751y", "ISBN" : "0021-8561", "ISSN" : "00218561", "PMID" : "15656686", "abstract" : "Total phenolics, ascorbic acid, and betalain contents of differently colored cactus pear clones (nine Opuntia ficus-indica [L.] Mill. clones and one O. robusta Wendl. clone) were investigated and related to their respective antioxidant potential assessed by Trolox-equivalent antioxidant capacity (TEAC) and oxygen radical absorbance capacity (ORAC) assays. TEAC and ORAC values were very highly correlated with each other and also with values for total phenolics, betalain contents, and ascorbic acid concentrations. Total phenolics had the greatest contribution to ORAC and TEAC values. High-performance liquid chromatography (HPLC)-diode array detector (DAD)-tandem mass spectrometry (MS/MS) measurements of cactus pear juices permitted the differentiation of the clones based on variations in pigment patterns and betalain concentrations. The red and yellow betalains were absent in lime green colored cactus fruits. The ratio and concentration of these pigments were responsible for the yellow, orange, red, and purple colors in the other clones. Progeny of purple and lime green colored parents were characterized by 12% and 88% of plants bearing lime green and purple fruit, respectively. This implies that the genes for betalain production were lacking in the lime green fruits but could be provided by a parent with a complete set of genes, that is, purple fruits. Besides known pigments typical of Cactaceae, two unexpected betalains were identified. Whereas gomphrenin I was found for the first time in tissues of cactus plants, methionine-betaxanthin has never been described before as a genuine betalain. In addition to their alleged health-promoting properties, various combinations of yellow betaxanthins and red-purple betacyanins may allow the development of new food products without using artificial colorants.", "author" : [ { "dropping-particle" : "", "family" : "Stintzing", "given" : "Florian C.", "non-dropping-particle" : "", "parse-names" : false, "suffix" : "" }, { "dropping-particle" : "", "family" : "Herbach", "given" : "Kirsten M.", "non-dropping-particle" : "", "parse-names" : false, "suffix" : "" }, { "dropping-particle" : "", "family" : "Mosshammer", "given" : "Markus R.", "non-dropping-particle" : "", "parse-names" : false, "suffix" : "" }, { "dropping-particle" : "", "family" : "Carle", "given" : "Reinhold", "non-dropping-particle" : "", "parse-names" : false, "suffix" : "" }, { "dropping-particle" : "", "family" : "Yi", "given" : "Weiguang", "non-dropping-particle" : "", "parse-names" : false, "suffix" : "" }, { "dropping-particle" : "", "family" : "Sellappan", "given" : "Subramani", "non-dropping-particle" : "", "parse-names" : false, "suffix" : "" }, { "dropping-particle" : "", "family" : "Akoh", "given" : "Casimir C.", "non-dropping-particle" : "", "parse-names" : false, "suffix" : "" }, { "dropping-particle" : "", "family" : "Bunch", "given" : "Ron", "non-dropping-particle" : "", "parse-names" : false, "suffix" : "" }, { "dropping-particle" : "", "family" : "Felker", "given" : "Peter", "non-dropping-particle" : "", "parse-names" : false, "suffix" : "" } ], "container-title" : "Journal of Agricultural and Food Chemistry", "id" : "ITEM-1", "issue" : "2", "issued" : { "date-parts" : [ [ "2005" ] ] }, "page" : "442-451", "title" : "Color, betalain pattern, and antioxidant properties of cactus pear (Opuntia spp.) clones", "type" : "article-journal", "volume" : "53" }, "uris" : [ "http://www.mendeley.com/documents/?uuid=5d0e82cc-4cbb-4478-a48e-52579b1a0328" ] } ], "mendeley" : { "formattedCitation" : "(Stintzing et al., 2005)", "manualFormatting" : "Stintzing et al. (2005", "plainTextFormattedCitation" : "(Stintzing et al., 2005)", "previouslyFormattedCitation" : "(Stintzing et al., 2005)" }, "properties" : { "noteIndex" : 0 }, "schema" : "https://github.com/citation-style-language/schema/raw/master/csl-citation.json" }</w:instrText>
      </w:r>
      <w:r w:rsidR="007F723B" w:rsidRPr="007F723B">
        <w:rPr>
          <w:rFonts w:eastAsiaTheme="minorHAnsi"/>
          <w:color w:val="auto"/>
          <w:lang w:eastAsia="en-US"/>
        </w:rPr>
        <w:fldChar w:fldCharType="separate"/>
      </w:r>
      <w:r w:rsidR="007F723B" w:rsidRPr="007F723B">
        <w:rPr>
          <w:rFonts w:eastAsiaTheme="minorHAnsi"/>
          <w:noProof/>
          <w:color w:val="auto"/>
          <w:lang w:eastAsia="en-US"/>
        </w:rPr>
        <w:t>Stintzing et al. (2005</w:t>
      </w:r>
      <w:r w:rsidR="007F723B" w:rsidRPr="007F723B">
        <w:rPr>
          <w:rFonts w:eastAsiaTheme="minorHAnsi"/>
          <w:color w:val="auto"/>
          <w:lang w:eastAsia="en-US"/>
        </w:rPr>
        <w:fldChar w:fldCharType="end"/>
      </w:r>
      <w:r w:rsidR="007F723B" w:rsidRPr="007F723B">
        <w:rPr>
          <w:rFonts w:eastAsiaTheme="minorHAnsi"/>
          <w:color w:val="auto"/>
          <w:lang w:eastAsia="en-US"/>
        </w:rPr>
        <w:t>)</w:t>
      </w:r>
      <w:r w:rsidR="002D32B8">
        <w:rPr>
          <w:rFonts w:eastAsiaTheme="minorHAnsi"/>
          <w:color w:val="auto"/>
          <w:lang w:eastAsia="en-US"/>
        </w:rPr>
        <w:t xml:space="preserve"> que são 0.002m</w:t>
      </w:r>
      <w:r w:rsidR="005740C8">
        <w:rPr>
          <w:rFonts w:eastAsiaTheme="minorHAnsi"/>
          <w:color w:val="auto"/>
          <w:lang w:eastAsia="en-US"/>
        </w:rPr>
        <w:t>mol/g, 0.004mmol</w:t>
      </w:r>
      <w:r w:rsidR="003901BE">
        <w:rPr>
          <w:rFonts w:eastAsiaTheme="minorHAnsi"/>
          <w:color w:val="auto"/>
          <w:lang w:eastAsia="en-US"/>
        </w:rPr>
        <w:t>/g e 0.002m</w:t>
      </w:r>
      <w:r w:rsidR="005740C8">
        <w:rPr>
          <w:rFonts w:eastAsiaTheme="minorHAnsi"/>
          <w:color w:val="auto"/>
          <w:lang w:eastAsia="en-US"/>
        </w:rPr>
        <w:t>mol</w:t>
      </w:r>
      <w:r w:rsidR="003901BE">
        <w:rPr>
          <w:rFonts w:eastAsiaTheme="minorHAnsi"/>
          <w:color w:val="auto"/>
          <w:lang w:eastAsia="en-US"/>
        </w:rPr>
        <w:t xml:space="preserve">/g pela mesma ordem. Segundo </w:t>
      </w:r>
      <w:r w:rsidR="003901BE">
        <w:rPr>
          <w:rFonts w:eastAsiaTheme="minorHAnsi"/>
          <w:color w:val="auto"/>
          <w:lang w:eastAsia="en-US"/>
        </w:rPr>
        <w:fldChar w:fldCharType="begin" w:fldLock="1"/>
      </w:r>
      <w:r w:rsidR="003901BE">
        <w:rPr>
          <w:rFonts w:eastAsiaTheme="minorHAnsi"/>
          <w:color w:val="auto"/>
          <w:lang w:eastAsia="en-US"/>
        </w:rPr>
        <w:instrText>ADDIN CSL_CITATION { "citationItems" : [ { "id" : "ITEM-1", "itemData" : { "DOI" : "dx.doi.org/10.1016/j.ultsonch.2015.05.040", "author" : [ { "dropping-particle" : "", "family" : "Cruz-Cansino", "given" : "Nelly Del Socorro", "non-dropping-particle" : "", "parse-names" : false, "suffix" : "" }, { "dropping-particle" : "", "family" : "Ram\u00edrez-Moreno", "given" : "Esther", "non-dropping-particle" : "", "parse-names" : false, "suffix" : "" }, { "dropping-particle" : "", "family" : "Le\u00edn-Rivera", "given" : "Jes\u00fas Ernesto", "non-dropping-particle" : "", "parse-names" : false, "suffix" : "" }, { "dropping-particle" : "", "family" : "Delgado-Olivares", "given" : "Luis", "non-dropping-particle" : "", "parse-names" : false, "suffix" : "" }, { "dropping-particle" : "", "family" : "Alan\u00eds-Garc\u00eda", "given" : "Ernesto", "non-dropping-particle" : "", "parse-names" : false, "suffix" : "" }, { "dropping-particle" : "", "family" : "Ariza-Ortega", "given" : "Jos\u00e9 Alberto", "non-dropping-particle" : "", "parse-names" : false, "suffix" : "" }, { "dropping-particle" : "", "family" : "Manrquez-Torres", "given" : "Jos\u00e9 De Jes\u00fas", "non-dropping-particle" : "", "parse-names" : false, "suffix" : "" }, { "dropping-particle" : "", "family" : "Jaramillo-Bustos", "given" : "Diana Pamela", "non-dropping-particle" : "", "parse-names" : false, "suffix" : "" } ], "container-title" : "Ultrasonics Sonochemistry", "id" : "ITEM-1", "issued" : { "date-parts" : [ [ "2015" ] ] }, "page" : "277-286", "title" : "Shelf life, physicochemical, microbiological and antioxidant properties of purple cactus pear (Opuntia ficus indica) juice after thermoultrasound treatment", "type" : "article-journal", "volume" : "7" }, "uris" : [ "http://www.mendeley.com/documents/?uuid=8e846e4a-5927-49d5-8863-190c61ffab84" ] } ], "mendeley" : { "formattedCitation" : "(Cruz-Cansino et al., 2015)", "manualFormatting" : "Cruz-Cansino et al., (2015)", "plainTextFormattedCitation" : "(Cruz-Cansino et al., 2015)", "previouslyFormattedCitation" : "(Cruz-Cansino et al., 2015)" }, "properties" : { "noteIndex" : 0 }, "schema" : "https://github.com/citation-style-language/schema/raw/master/csl-citation.json" }</w:instrText>
      </w:r>
      <w:r w:rsidR="003901BE">
        <w:rPr>
          <w:rFonts w:eastAsiaTheme="minorHAnsi"/>
          <w:color w:val="auto"/>
          <w:lang w:eastAsia="en-US"/>
        </w:rPr>
        <w:fldChar w:fldCharType="separate"/>
      </w:r>
      <w:r w:rsidR="003901BE" w:rsidRPr="003901BE">
        <w:rPr>
          <w:rFonts w:eastAsiaTheme="minorHAnsi"/>
          <w:noProof/>
          <w:color w:val="auto"/>
          <w:lang w:eastAsia="en-US"/>
        </w:rPr>
        <w:t xml:space="preserve">Cruz-Cansino et al., </w:t>
      </w:r>
      <w:r w:rsidR="003901BE">
        <w:rPr>
          <w:rFonts w:eastAsiaTheme="minorHAnsi"/>
          <w:noProof/>
          <w:color w:val="auto"/>
          <w:lang w:eastAsia="en-US"/>
        </w:rPr>
        <w:t>(</w:t>
      </w:r>
      <w:r w:rsidR="003901BE" w:rsidRPr="003901BE">
        <w:rPr>
          <w:rFonts w:eastAsiaTheme="minorHAnsi"/>
          <w:noProof/>
          <w:color w:val="auto"/>
          <w:lang w:eastAsia="en-US"/>
        </w:rPr>
        <w:t>2015)</w:t>
      </w:r>
      <w:r w:rsidR="003901BE">
        <w:rPr>
          <w:rFonts w:eastAsiaTheme="minorHAnsi"/>
          <w:color w:val="auto"/>
          <w:lang w:eastAsia="en-US"/>
        </w:rPr>
        <w:fldChar w:fldCharType="end"/>
      </w:r>
      <w:r w:rsidR="003901BE">
        <w:rPr>
          <w:rFonts w:eastAsiaTheme="minorHAnsi"/>
          <w:color w:val="auto"/>
          <w:lang w:eastAsia="en-US"/>
        </w:rPr>
        <w:t xml:space="preserve"> os valores para a cultivar ‘Rosso’ variam entre 1.248 e 1.156 mmol/g, </w:t>
      </w:r>
      <w:r w:rsidR="00770C44">
        <w:rPr>
          <w:rFonts w:eastAsiaTheme="minorHAnsi"/>
          <w:color w:val="auto"/>
          <w:lang w:eastAsia="en-US"/>
        </w:rPr>
        <w:t xml:space="preserve">também </w:t>
      </w:r>
      <w:r w:rsidR="003901BE">
        <w:rPr>
          <w:rFonts w:eastAsiaTheme="minorHAnsi"/>
          <w:color w:val="auto"/>
          <w:lang w:eastAsia="en-US"/>
        </w:rPr>
        <w:t xml:space="preserve">inferiores aos </w:t>
      </w:r>
      <w:r w:rsidR="00770C44">
        <w:rPr>
          <w:rFonts w:eastAsiaTheme="minorHAnsi"/>
          <w:color w:val="auto"/>
          <w:lang w:eastAsia="en-US"/>
        </w:rPr>
        <w:t>quantificados neste trabalho.</w:t>
      </w:r>
    </w:p>
    <w:p w14:paraId="279477D0" w14:textId="76CCFF73" w:rsidR="007F723B" w:rsidRPr="007F723B" w:rsidRDefault="007F723B" w:rsidP="007F723B">
      <w:pPr>
        <w:spacing w:after="160" w:line="360" w:lineRule="auto"/>
        <w:ind w:left="0" w:right="0" w:firstLine="0"/>
        <w:rPr>
          <w:rFonts w:eastAsiaTheme="minorHAnsi"/>
          <w:color w:val="auto"/>
          <w:sz w:val="28"/>
          <w:lang w:eastAsia="en-US"/>
        </w:rPr>
      </w:pPr>
      <w:r w:rsidRPr="007F723B">
        <w:rPr>
          <w:rFonts w:eastAsiaTheme="minorHAnsi"/>
          <w:color w:val="auto"/>
          <w:lang w:eastAsia="en-US"/>
        </w:rPr>
        <w:t>Pela analise estatística são apresentadas diferen</w:t>
      </w:r>
      <w:r w:rsidR="00F56ADF">
        <w:rPr>
          <w:rFonts w:eastAsiaTheme="minorHAnsi"/>
          <w:color w:val="auto"/>
          <w:lang w:eastAsia="en-US"/>
        </w:rPr>
        <w:t xml:space="preserve">ças entre a polpa e a casca </w:t>
      </w:r>
      <w:r w:rsidR="00873821">
        <w:rPr>
          <w:rFonts w:eastAsiaTheme="minorHAnsi"/>
          <w:color w:val="auto"/>
          <w:lang w:eastAsia="en-US"/>
        </w:rPr>
        <w:t>não</w:t>
      </w:r>
      <w:r w:rsidR="007A4ADB">
        <w:rPr>
          <w:rFonts w:eastAsiaTheme="minorHAnsi"/>
          <w:color w:val="auto"/>
          <w:lang w:eastAsia="en-US"/>
        </w:rPr>
        <w:t xml:space="preserve"> </w:t>
      </w:r>
      <w:r w:rsidR="00770C44">
        <w:rPr>
          <w:rFonts w:eastAsiaTheme="minorHAnsi"/>
          <w:color w:val="auto"/>
          <w:lang w:eastAsia="en-US"/>
        </w:rPr>
        <w:t>foram</w:t>
      </w:r>
      <w:r w:rsidR="00873821">
        <w:rPr>
          <w:rFonts w:eastAsiaTheme="minorHAnsi"/>
          <w:color w:val="auto"/>
          <w:lang w:eastAsia="en-US"/>
        </w:rPr>
        <w:t xml:space="preserve"> significativas com </w:t>
      </w:r>
      <w:proofErr w:type="gramStart"/>
      <w:r w:rsidR="00873821">
        <w:rPr>
          <w:rFonts w:eastAsiaTheme="minorHAnsi"/>
          <w:color w:val="auto"/>
          <w:lang w:eastAsia="en-US"/>
        </w:rPr>
        <w:t>p&gt;</w:t>
      </w:r>
      <w:r w:rsidR="004C183F">
        <w:rPr>
          <w:rFonts w:eastAsiaTheme="minorHAnsi"/>
          <w:color w:val="auto"/>
          <w:lang w:eastAsia="en-US"/>
        </w:rPr>
        <w:t>0.</w:t>
      </w:r>
      <w:proofErr w:type="gramEnd"/>
      <w:r w:rsidR="004C183F">
        <w:rPr>
          <w:rFonts w:eastAsiaTheme="minorHAnsi"/>
          <w:color w:val="auto"/>
          <w:lang w:eastAsia="en-US"/>
        </w:rPr>
        <w:t>05.</w:t>
      </w:r>
    </w:p>
    <w:p w14:paraId="05C53085" w14:textId="77777777" w:rsidR="007F723B" w:rsidRPr="007F723B" w:rsidRDefault="007F723B" w:rsidP="007F723B">
      <w:pPr>
        <w:rPr>
          <w:rFonts w:eastAsiaTheme="minorHAnsi"/>
          <w:lang w:eastAsia="en-US"/>
        </w:rPr>
      </w:pPr>
    </w:p>
    <w:p w14:paraId="78E31C81" w14:textId="77777777" w:rsidR="007F723B" w:rsidRDefault="000500E7" w:rsidP="000E3C44">
      <w:pPr>
        <w:keepNext/>
        <w:ind w:right="-1"/>
        <w:jc w:val="center"/>
      </w:pPr>
      <w:r>
        <w:rPr>
          <w:noProof/>
        </w:rPr>
        <w:lastRenderedPageBreak/>
        <w:drawing>
          <wp:inline distT="0" distB="0" distL="0" distR="0" wp14:anchorId="0CDECD1B" wp14:editId="484AD5E5">
            <wp:extent cx="4572000" cy="2743200"/>
            <wp:effectExtent l="0" t="0" r="0" b="0"/>
            <wp:docPr id="4" name="Gráfico 4">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076370E-91B0-43B5-B09E-BD55EDF489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BC977ED" w14:textId="4168B300" w:rsidR="007F723B" w:rsidRPr="006C2067" w:rsidRDefault="007F723B" w:rsidP="000E3C44">
      <w:pPr>
        <w:pStyle w:val="Legenda"/>
        <w:ind w:right="-1"/>
        <w:rPr>
          <w:rFonts w:eastAsiaTheme="minorHAnsi"/>
          <w:i w:val="0"/>
          <w:color w:val="auto"/>
          <w:sz w:val="20"/>
          <w:szCs w:val="20"/>
          <w:lang w:eastAsia="en-US"/>
        </w:rPr>
      </w:pPr>
      <w:bookmarkStart w:id="310" w:name="_Toc479333897"/>
      <w:r>
        <w:t xml:space="preserve">Figura </w:t>
      </w:r>
      <w:r w:rsidR="00805B44">
        <w:fldChar w:fldCharType="begin"/>
      </w:r>
      <w:r w:rsidR="00805B44">
        <w:instrText xml:space="preserve"> SEQ Figura \* ARABIC </w:instrText>
      </w:r>
      <w:r w:rsidR="00805B44">
        <w:fldChar w:fldCharType="separate"/>
      </w:r>
      <w:r w:rsidR="005F28B4">
        <w:rPr>
          <w:noProof/>
        </w:rPr>
        <w:t>22</w:t>
      </w:r>
      <w:r w:rsidR="00805B44">
        <w:rPr>
          <w:noProof/>
        </w:rPr>
        <w:fldChar w:fldCharType="end"/>
      </w:r>
      <w:r>
        <w:t xml:space="preserve"> </w:t>
      </w:r>
      <w:r w:rsidRPr="006C2067">
        <w:rPr>
          <w:i w:val="0"/>
        </w:rPr>
        <w:t xml:space="preserve">- </w:t>
      </w:r>
      <w:r w:rsidRPr="006C2067">
        <w:rPr>
          <w:rFonts w:eastAsiaTheme="minorHAnsi"/>
          <w:i w:val="0"/>
          <w:color w:val="auto"/>
          <w:sz w:val="22"/>
          <w:lang w:eastAsia="en-US"/>
        </w:rPr>
        <w:t xml:space="preserve">TEAC </w:t>
      </w:r>
      <w:r w:rsidRPr="006C2067">
        <w:rPr>
          <w:rFonts w:eastAsiaTheme="minorHAnsi"/>
          <w:i w:val="0"/>
          <w:color w:val="auto"/>
          <w:sz w:val="20"/>
          <w:szCs w:val="20"/>
          <w:lang w:eastAsia="en-US"/>
        </w:rPr>
        <w:t xml:space="preserve">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 xml:space="preserve">05). As duas barras com NS, * ou *** no topo não são significativamente diferentes ou são significativamente diferentes para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 ou P &lt;0.01.</w:t>
      </w:r>
      <w:bookmarkEnd w:id="310"/>
    </w:p>
    <w:p w14:paraId="3B0A8AB3" w14:textId="77777777" w:rsidR="00595FD7" w:rsidRDefault="00595FD7" w:rsidP="007F723B">
      <w:pPr>
        <w:pStyle w:val="Legenda"/>
        <w:rPr>
          <w:rFonts w:eastAsiaTheme="minorHAnsi"/>
          <w:lang w:eastAsia="en-US"/>
        </w:rPr>
      </w:pPr>
    </w:p>
    <w:p w14:paraId="1E77D96F" w14:textId="7A23F80E" w:rsidR="007F723B" w:rsidRPr="007F723B" w:rsidRDefault="007F723B" w:rsidP="007F723B">
      <w:pPr>
        <w:pStyle w:val="Cabealho4"/>
        <w:rPr>
          <w:rFonts w:ascii="Times New Roman" w:hAnsi="Times New Roman" w:cs="Times New Roman"/>
          <w:i w:val="0"/>
          <w:color w:val="auto"/>
          <w:lang w:eastAsia="en-US"/>
        </w:rPr>
      </w:pPr>
      <w:bookmarkStart w:id="311" w:name="_Toc462709796"/>
      <w:bookmarkStart w:id="312" w:name="_Toc479154871"/>
      <w:r w:rsidRPr="007F723B">
        <w:rPr>
          <w:rFonts w:ascii="Times New Roman" w:hAnsi="Times New Roman" w:cs="Times New Roman"/>
          <w:i w:val="0"/>
          <w:color w:val="auto"/>
          <w:lang w:eastAsia="en-US"/>
        </w:rPr>
        <w:t>3.1.2.</w:t>
      </w:r>
      <w:r w:rsidR="00044165">
        <w:rPr>
          <w:rFonts w:ascii="Times New Roman" w:hAnsi="Times New Roman" w:cs="Times New Roman"/>
          <w:i w:val="0"/>
          <w:color w:val="auto"/>
          <w:lang w:eastAsia="en-US"/>
        </w:rPr>
        <w:t>2.2</w:t>
      </w:r>
      <w:r w:rsidRPr="007F723B">
        <w:rPr>
          <w:rFonts w:ascii="Times New Roman" w:hAnsi="Times New Roman" w:cs="Times New Roman"/>
          <w:i w:val="0"/>
          <w:color w:val="auto"/>
          <w:lang w:eastAsia="en-US"/>
        </w:rPr>
        <w:t xml:space="preserve"> </w:t>
      </w:r>
      <w:r w:rsidR="00044165">
        <w:rPr>
          <w:rFonts w:ascii="Times New Roman" w:hAnsi="Times New Roman" w:cs="Times New Roman"/>
          <w:i w:val="0"/>
          <w:color w:val="auto"/>
          <w:lang w:eastAsia="en-US"/>
        </w:rPr>
        <w:t xml:space="preserve">Método </w:t>
      </w:r>
      <w:r w:rsidRPr="007F723B">
        <w:rPr>
          <w:rFonts w:ascii="Times New Roman" w:hAnsi="Times New Roman" w:cs="Times New Roman"/>
          <w:i w:val="0"/>
          <w:color w:val="auto"/>
          <w:lang w:eastAsia="en-US"/>
        </w:rPr>
        <w:t>DPPH</w:t>
      </w:r>
      <w:bookmarkEnd w:id="311"/>
      <w:bookmarkEnd w:id="312"/>
      <w:r w:rsidRPr="007F723B">
        <w:rPr>
          <w:rFonts w:ascii="Times New Roman" w:hAnsi="Times New Roman" w:cs="Times New Roman"/>
          <w:i w:val="0"/>
          <w:color w:val="auto"/>
          <w:lang w:eastAsia="en-US"/>
        </w:rPr>
        <w:t xml:space="preserve"> </w:t>
      </w:r>
    </w:p>
    <w:p w14:paraId="76DD3A15" w14:textId="77777777" w:rsidR="007F723B" w:rsidRPr="007F723B" w:rsidRDefault="007F723B" w:rsidP="007F723B">
      <w:pPr>
        <w:rPr>
          <w:rFonts w:eastAsiaTheme="minorHAnsi"/>
          <w:lang w:eastAsia="en-US"/>
        </w:rPr>
      </w:pPr>
    </w:p>
    <w:p w14:paraId="200A31C4" w14:textId="77777777" w:rsidR="007F723B" w:rsidRPr="007F723B" w:rsidRDefault="007F723B" w:rsidP="007F723B">
      <w:pPr>
        <w:spacing w:after="160" w:line="360" w:lineRule="auto"/>
        <w:ind w:left="0" w:right="0" w:firstLine="0"/>
        <w:rPr>
          <w:rFonts w:eastAsiaTheme="minorHAnsi"/>
          <w:color w:val="auto"/>
          <w:szCs w:val="24"/>
          <w:lang w:eastAsia="en-US"/>
        </w:rPr>
      </w:pPr>
      <w:r w:rsidRPr="007F723B">
        <w:rPr>
          <w:rFonts w:eastAsiaTheme="minorHAnsi"/>
          <w:color w:val="auto"/>
          <w:szCs w:val="24"/>
          <w:lang w:eastAsia="en-US"/>
        </w:rPr>
        <w:t>É um método que quantifica a atividade antioxidante baseado na transferência de eletrões. Este é um radical livre, de cor violeta, estável a temperatura ambiente e na presença de uma molécula antioxidante vai dar origem a uma solução incolor (Garcia et al., 2012).</w:t>
      </w:r>
    </w:p>
    <w:p w14:paraId="4223E2AD" w14:textId="40967A7E" w:rsidR="007F723B" w:rsidRPr="007F723B" w:rsidRDefault="007F723B" w:rsidP="007F723B">
      <w:pPr>
        <w:spacing w:after="160" w:line="360" w:lineRule="auto"/>
        <w:ind w:left="0" w:right="0" w:firstLine="0"/>
        <w:rPr>
          <w:rFonts w:eastAsiaTheme="minorHAnsi"/>
          <w:color w:val="auto"/>
          <w:szCs w:val="24"/>
          <w:lang w:eastAsia="en-US"/>
        </w:rPr>
      </w:pPr>
      <w:r w:rsidRPr="007F723B">
        <w:rPr>
          <w:rFonts w:eastAsiaTheme="minorHAnsi"/>
          <w:color w:val="auto"/>
          <w:szCs w:val="24"/>
          <w:lang w:eastAsia="en-US"/>
        </w:rPr>
        <w:t>Na casca a cultivar que apresentou uma maior atividade ant</w:t>
      </w:r>
      <w:r w:rsidR="00F56ADF">
        <w:rPr>
          <w:rFonts w:eastAsiaTheme="minorHAnsi"/>
          <w:color w:val="auto"/>
          <w:szCs w:val="24"/>
          <w:lang w:eastAsia="en-US"/>
        </w:rPr>
        <w:t>ioxidante</w:t>
      </w:r>
      <w:r w:rsidR="00AA7FF1">
        <w:rPr>
          <w:rFonts w:eastAsiaTheme="minorHAnsi"/>
          <w:color w:val="auto"/>
          <w:szCs w:val="24"/>
          <w:lang w:eastAsia="en-US"/>
        </w:rPr>
        <w:t xml:space="preserve"> foi</w:t>
      </w:r>
      <w:r w:rsidR="00334797">
        <w:rPr>
          <w:rFonts w:eastAsiaTheme="minorHAnsi"/>
          <w:color w:val="auto"/>
          <w:szCs w:val="24"/>
          <w:lang w:eastAsia="en-US"/>
        </w:rPr>
        <w:t xml:space="preserve"> a ‘Gialla’</w:t>
      </w:r>
      <w:r w:rsidR="00AA7FF1">
        <w:rPr>
          <w:rFonts w:eastAsiaTheme="minorHAnsi"/>
          <w:color w:val="auto"/>
          <w:szCs w:val="24"/>
          <w:lang w:eastAsia="en-US"/>
        </w:rPr>
        <w:t>, contudo não existiram diferenças significativas e</w:t>
      </w:r>
      <w:r w:rsidR="006F06B7">
        <w:rPr>
          <w:rFonts w:eastAsiaTheme="minorHAnsi"/>
          <w:color w:val="auto"/>
          <w:szCs w:val="24"/>
          <w:lang w:eastAsia="en-US"/>
        </w:rPr>
        <w:t>ntre os valores apresentados para todas as cultivares e ecótipos.</w:t>
      </w:r>
      <w:r w:rsidR="006D02BC">
        <w:rPr>
          <w:rFonts w:eastAsiaTheme="minorHAnsi"/>
          <w:color w:val="auto"/>
          <w:szCs w:val="24"/>
          <w:lang w:eastAsia="en-US"/>
        </w:rPr>
        <w:t xml:space="preserve"> Os valores do ecótipo ‘laranja’ são </w:t>
      </w:r>
      <w:r w:rsidR="00A9472C">
        <w:rPr>
          <w:rFonts w:eastAsiaTheme="minorHAnsi"/>
          <w:color w:val="auto"/>
          <w:szCs w:val="24"/>
          <w:lang w:eastAsia="en-US"/>
        </w:rPr>
        <w:t xml:space="preserve">superiores a 0.07 mg/g referidos por </w:t>
      </w:r>
      <w:r w:rsidR="00A9472C">
        <w:rPr>
          <w:rFonts w:eastAsiaTheme="minorHAnsi"/>
          <w:color w:val="auto"/>
          <w:szCs w:val="24"/>
          <w:lang w:eastAsia="en-US"/>
        </w:rPr>
        <w:fldChar w:fldCharType="begin" w:fldLock="1"/>
      </w:r>
      <w:r w:rsidR="00A9472C">
        <w:rPr>
          <w:rFonts w:eastAsiaTheme="minorHAnsi"/>
          <w:color w:val="auto"/>
          <w:szCs w:val="24"/>
          <w:lang w:eastAsia="en-US"/>
        </w:rPr>
        <w:instrText>ADDIN CSL_CITATION { "citationItems" : [ { "id" : "ITEM-1", "itemData" : { "author" : [ { "dropping-particle" : "", "family" : "Chougui", "given" : "Nadia", "non-dropping-particle" : "", "parse-names" : false, "suffix" : "" }, { "dropping-particle" : "", "family" : "Sahi", "given" : "Yasmine", "non-dropping-particle" : "", "parse-names" : false, "suffix" : "" }, { "dropping-particle" : "", "family" : "Belkacemi", "given" : "Mahmoud", "non-dropping-particle" : "", "parse-names" : false, "suffix" : "" } ], "container-title" : "Insidefood.Eu", "id" : "ITEM-1", "issued" : { "date-parts" : [ [ "2013" ] ] }, "page" : "9-12", "title" : "Comparative study between the different compartments of Opuntia ficus-indica L.", "type" : "article-journal" }, "uris" : [ "http://www.mendeley.com/documents/?uuid=f1eeb53c-1ccb-4877-838d-0e4cba629a03" ] } ], "mendeley" : { "formattedCitation" : "(Chougui, Sahi, &amp; Belkacemi, 2013)", "manualFormatting" : "Chougui et al., (2013)", "plainTextFormattedCitation" : "(Chougui, Sahi, &amp; Belkacemi, 2013)", "previouslyFormattedCitation" : "(Chougui, Sahi, &amp; Belkacemi, 2013)" }, "properties" : { "noteIndex" : 0 }, "schema" : "https://github.com/citation-style-language/schema/raw/master/csl-citation.json" }</w:instrText>
      </w:r>
      <w:r w:rsidR="00A9472C">
        <w:rPr>
          <w:rFonts w:eastAsiaTheme="minorHAnsi"/>
          <w:color w:val="auto"/>
          <w:szCs w:val="24"/>
          <w:lang w:eastAsia="en-US"/>
        </w:rPr>
        <w:fldChar w:fldCharType="separate"/>
      </w:r>
      <w:r w:rsidR="00A9472C" w:rsidRPr="00A9472C">
        <w:rPr>
          <w:rFonts w:eastAsiaTheme="minorHAnsi"/>
          <w:noProof/>
          <w:color w:val="auto"/>
          <w:szCs w:val="24"/>
          <w:lang w:eastAsia="en-US"/>
        </w:rPr>
        <w:t>Chougui</w:t>
      </w:r>
      <w:r w:rsidR="00A9472C">
        <w:rPr>
          <w:rFonts w:eastAsiaTheme="minorHAnsi"/>
          <w:noProof/>
          <w:color w:val="auto"/>
          <w:szCs w:val="24"/>
          <w:lang w:eastAsia="en-US"/>
        </w:rPr>
        <w:t xml:space="preserve"> et al.</w:t>
      </w:r>
      <w:r w:rsidR="00A9472C" w:rsidRPr="00A9472C">
        <w:rPr>
          <w:rFonts w:eastAsiaTheme="minorHAnsi"/>
          <w:noProof/>
          <w:color w:val="auto"/>
          <w:szCs w:val="24"/>
          <w:lang w:eastAsia="en-US"/>
        </w:rPr>
        <w:t xml:space="preserve">, </w:t>
      </w:r>
      <w:r w:rsidR="00A9472C">
        <w:rPr>
          <w:rFonts w:eastAsiaTheme="minorHAnsi"/>
          <w:noProof/>
          <w:color w:val="auto"/>
          <w:szCs w:val="24"/>
          <w:lang w:eastAsia="en-US"/>
        </w:rPr>
        <w:t>(</w:t>
      </w:r>
      <w:r w:rsidR="00A9472C" w:rsidRPr="00A9472C">
        <w:rPr>
          <w:rFonts w:eastAsiaTheme="minorHAnsi"/>
          <w:noProof/>
          <w:color w:val="auto"/>
          <w:szCs w:val="24"/>
          <w:lang w:eastAsia="en-US"/>
        </w:rPr>
        <w:t>2013)</w:t>
      </w:r>
      <w:r w:rsidR="00A9472C">
        <w:rPr>
          <w:rFonts w:eastAsiaTheme="minorHAnsi"/>
          <w:color w:val="auto"/>
          <w:szCs w:val="24"/>
          <w:lang w:eastAsia="en-US"/>
        </w:rPr>
        <w:fldChar w:fldCharType="end"/>
      </w:r>
      <w:r w:rsidR="00A9472C">
        <w:rPr>
          <w:rFonts w:eastAsiaTheme="minorHAnsi"/>
          <w:color w:val="auto"/>
          <w:szCs w:val="24"/>
          <w:lang w:eastAsia="en-US"/>
        </w:rPr>
        <w:t>.</w:t>
      </w:r>
    </w:p>
    <w:p w14:paraId="75BBE2B5" w14:textId="4E6BED88" w:rsidR="007F723B" w:rsidRPr="007F723B" w:rsidRDefault="007F723B" w:rsidP="007F723B">
      <w:pPr>
        <w:spacing w:after="160" w:line="360" w:lineRule="auto"/>
        <w:ind w:left="0" w:right="0" w:firstLine="0"/>
        <w:rPr>
          <w:rFonts w:eastAsiaTheme="minorHAnsi"/>
          <w:color w:val="auto"/>
          <w:szCs w:val="24"/>
          <w:lang w:eastAsia="en-US"/>
        </w:rPr>
      </w:pPr>
      <w:r w:rsidRPr="007F723B">
        <w:rPr>
          <w:rFonts w:eastAsiaTheme="minorHAnsi"/>
          <w:color w:val="auto"/>
          <w:szCs w:val="24"/>
          <w:lang w:eastAsia="en-US"/>
        </w:rPr>
        <w:t>Na polpa a cultivar que apresentou uma maior atividade antioxidant</w:t>
      </w:r>
      <w:r w:rsidR="0064084D">
        <w:rPr>
          <w:rFonts w:eastAsiaTheme="minorHAnsi"/>
          <w:color w:val="auto"/>
          <w:szCs w:val="24"/>
          <w:lang w:eastAsia="en-US"/>
        </w:rPr>
        <w:t>e foi o ecótipo ‘verde’ (0.39</w:t>
      </w:r>
      <w:r w:rsidRPr="007F723B">
        <w:rPr>
          <w:rFonts w:eastAsiaTheme="minorHAnsi"/>
          <w:color w:val="auto"/>
          <w:szCs w:val="24"/>
          <w:lang w:eastAsia="en-US"/>
        </w:rPr>
        <w:t xml:space="preserve"> ± 0.05 mg /g)</w:t>
      </w:r>
      <w:r w:rsidR="00D70225">
        <w:rPr>
          <w:rFonts w:eastAsiaTheme="minorHAnsi"/>
          <w:color w:val="auto"/>
          <w:szCs w:val="24"/>
          <w:lang w:eastAsia="en-US"/>
        </w:rPr>
        <w:t xml:space="preserve"> </w:t>
      </w:r>
      <w:r w:rsidR="006F06B7">
        <w:rPr>
          <w:rFonts w:eastAsiaTheme="minorHAnsi"/>
          <w:color w:val="auto"/>
          <w:szCs w:val="24"/>
          <w:lang w:eastAsia="en-US"/>
        </w:rPr>
        <w:t>e os menores valores foram encontrados no ecótipo ‘laranja’</w:t>
      </w:r>
      <w:r w:rsidR="006A6F0A">
        <w:rPr>
          <w:rFonts w:eastAsiaTheme="minorHAnsi"/>
          <w:color w:val="auto"/>
          <w:szCs w:val="24"/>
          <w:lang w:eastAsia="en-US"/>
        </w:rPr>
        <w:t xml:space="preserve"> </w:t>
      </w:r>
      <w:r w:rsidR="008335E3">
        <w:rPr>
          <w:rFonts w:eastAsiaTheme="minorHAnsi"/>
          <w:color w:val="auto"/>
          <w:szCs w:val="24"/>
          <w:lang w:eastAsia="en-US"/>
        </w:rPr>
        <w:t>(0.28 ± 0.03 mg/g),</w:t>
      </w:r>
      <w:r w:rsidR="00D70225">
        <w:rPr>
          <w:rFonts w:eastAsiaTheme="minorHAnsi"/>
          <w:color w:val="auto"/>
          <w:szCs w:val="24"/>
          <w:lang w:eastAsia="en-US"/>
        </w:rPr>
        <w:t xml:space="preserve"> </w:t>
      </w:r>
      <w:r w:rsidR="006F06B7">
        <w:rPr>
          <w:rFonts w:eastAsiaTheme="minorHAnsi"/>
          <w:color w:val="auto"/>
          <w:szCs w:val="24"/>
          <w:lang w:eastAsia="en-US"/>
        </w:rPr>
        <w:t>e</w:t>
      </w:r>
      <w:r w:rsidR="0064084D">
        <w:rPr>
          <w:rFonts w:eastAsiaTheme="minorHAnsi"/>
          <w:color w:val="auto"/>
          <w:szCs w:val="24"/>
          <w:lang w:eastAsia="en-US"/>
        </w:rPr>
        <w:t xml:space="preserve"> </w:t>
      </w:r>
      <w:proofErr w:type="gramStart"/>
      <w:r w:rsidR="006F06B7">
        <w:rPr>
          <w:rFonts w:eastAsiaTheme="minorHAnsi"/>
          <w:color w:val="auto"/>
          <w:szCs w:val="24"/>
          <w:lang w:eastAsia="en-US"/>
        </w:rPr>
        <w:t>n</w:t>
      </w:r>
      <w:r w:rsidR="0064084D">
        <w:rPr>
          <w:rFonts w:eastAsiaTheme="minorHAnsi"/>
          <w:color w:val="auto"/>
          <w:szCs w:val="24"/>
          <w:lang w:eastAsia="en-US"/>
        </w:rPr>
        <w:t>a</w:t>
      </w:r>
      <w:proofErr w:type="gramEnd"/>
      <w:r w:rsidR="0064084D">
        <w:rPr>
          <w:rFonts w:eastAsiaTheme="minorHAnsi"/>
          <w:color w:val="auto"/>
          <w:szCs w:val="24"/>
          <w:lang w:eastAsia="en-US"/>
        </w:rPr>
        <w:t xml:space="preserve"> cultivar ‘Rosso’ (0.25 ± 0.03 mg/g)</w:t>
      </w:r>
      <w:r w:rsidR="008335E3">
        <w:rPr>
          <w:rFonts w:eastAsiaTheme="minorHAnsi"/>
          <w:color w:val="auto"/>
          <w:szCs w:val="24"/>
          <w:lang w:eastAsia="en-US"/>
        </w:rPr>
        <w:t>.</w:t>
      </w:r>
      <w:r w:rsidR="0064084D">
        <w:rPr>
          <w:rFonts w:eastAsiaTheme="minorHAnsi"/>
          <w:color w:val="auto"/>
          <w:szCs w:val="24"/>
          <w:lang w:eastAsia="en-US"/>
        </w:rPr>
        <w:t xml:space="preserve"> </w:t>
      </w:r>
      <w:r w:rsidR="008335E3">
        <w:rPr>
          <w:rFonts w:eastAsiaTheme="minorHAnsi"/>
          <w:color w:val="auto"/>
          <w:szCs w:val="24"/>
          <w:lang w:eastAsia="en-US"/>
        </w:rPr>
        <w:t>E</w:t>
      </w:r>
      <w:r w:rsidR="0064084D">
        <w:rPr>
          <w:rFonts w:eastAsiaTheme="minorHAnsi"/>
          <w:color w:val="auto"/>
          <w:szCs w:val="24"/>
          <w:lang w:eastAsia="en-US"/>
        </w:rPr>
        <w:t>st</w:t>
      </w:r>
      <w:r w:rsidR="008335E3">
        <w:rPr>
          <w:rFonts w:eastAsiaTheme="minorHAnsi"/>
          <w:color w:val="auto"/>
          <w:szCs w:val="24"/>
          <w:lang w:eastAsia="en-US"/>
        </w:rPr>
        <w:t>a ativi</w:t>
      </w:r>
      <w:r w:rsidR="00F635E3">
        <w:rPr>
          <w:rFonts w:eastAsiaTheme="minorHAnsi"/>
          <w:color w:val="auto"/>
          <w:szCs w:val="24"/>
          <w:lang w:eastAsia="en-US"/>
        </w:rPr>
        <w:t>d</w:t>
      </w:r>
      <w:r w:rsidR="008335E3">
        <w:rPr>
          <w:rFonts w:eastAsiaTheme="minorHAnsi"/>
          <w:color w:val="auto"/>
          <w:szCs w:val="24"/>
          <w:lang w:eastAsia="en-US"/>
        </w:rPr>
        <w:t>ade</w:t>
      </w:r>
      <w:r w:rsidR="009F1203">
        <w:rPr>
          <w:rFonts w:eastAsiaTheme="minorHAnsi"/>
          <w:color w:val="auto"/>
          <w:szCs w:val="24"/>
          <w:lang w:eastAsia="en-US"/>
        </w:rPr>
        <w:t xml:space="preserve"> </w:t>
      </w:r>
      <w:proofErr w:type="gramStart"/>
      <w:r w:rsidR="009F1203">
        <w:rPr>
          <w:rFonts w:eastAsiaTheme="minorHAnsi"/>
          <w:color w:val="auto"/>
          <w:szCs w:val="24"/>
          <w:lang w:eastAsia="en-US"/>
        </w:rPr>
        <w:t>da</w:t>
      </w:r>
      <w:proofErr w:type="gramEnd"/>
      <w:r w:rsidR="009F1203">
        <w:rPr>
          <w:rFonts w:eastAsiaTheme="minorHAnsi"/>
          <w:color w:val="auto"/>
          <w:szCs w:val="24"/>
          <w:lang w:eastAsia="en-US"/>
        </w:rPr>
        <w:t xml:space="preserve"> cultivar ‘Rosso’ </w:t>
      </w:r>
      <w:r w:rsidR="003901BE">
        <w:rPr>
          <w:rFonts w:eastAsiaTheme="minorHAnsi"/>
          <w:color w:val="auto"/>
          <w:szCs w:val="24"/>
          <w:lang w:eastAsia="en-US"/>
        </w:rPr>
        <w:t>tem</w:t>
      </w:r>
      <w:r w:rsidR="008335E3">
        <w:rPr>
          <w:rFonts w:eastAsiaTheme="minorHAnsi"/>
          <w:color w:val="auto"/>
          <w:szCs w:val="24"/>
          <w:lang w:eastAsia="en-US"/>
        </w:rPr>
        <w:t xml:space="preserve"> menores </w:t>
      </w:r>
      <w:r w:rsidR="0064084D">
        <w:rPr>
          <w:rFonts w:eastAsiaTheme="minorHAnsi"/>
          <w:color w:val="auto"/>
          <w:szCs w:val="24"/>
          <w:lang w:eastAsia="en-US"/>
        </w:rPr>
        <w:t xml:space="preserve">valores </w:t>
      </w:r>
      <w:r w:rsidR="003901BE">
        <w:rPr>
          <w:rFonts w:eastAsiaTheme="minorHAnsi"/>
          <w:color w:val="auto"/>
          <w:szCs w:val="24"/>
          <w:lang w:eastAsia="en-US"/>
        </w:rPr>
        <w:t xml:space="preserve">que os </w:t>
      </w:r>
      <w:r w:rsidR="008335E3">
        <w:rPr>
          <w:rFonts w:eastAsiaTheme="minorHAnsi"/>
          <w:color w:val="auto"/>
          <w:szCs w:val="24"/>
          <w:lang w:eastAsia="en-US"/>
        </w:rPr>
        <w:t xml:space="preserve">referidos </w:t>
      </w:r>
      <w:r w:rsidR="00D70225">
        <w:rPr>
          <w:rFonts w:eastAsiaTheme="minorHAnsi"/>
          <w:color w:val="auto"/>
          <w:szCs w:val="24"/>
          <w:lang w:eastAsia="en-US"/>
        </w:rPr>
        <w:t>no estudo de</w:t>
      </w:r>
      <w:r w:rsidR="008335E3">
        <w:rPr>
          <w:rFonts w:eastAsiaTheme="minorHAnsi"/>
          <w:color w:val="auto"/>
          <w:szCs w:val="24"/>
          <w:lang w:eastAsia="en-US"/>
        </w:rPr>
        <w:t xml:space="preserve"> </w:t>
      </w:r>
      <w:r w:rsidR="0064084D">
        <w:rPr>
          <w:rFonts w:eastAsiaTheme="minorHAnsi"/>
          <w:color w:val="auto"/>
          <w:szCs w:val="24"/>
          <w:lang w:eastAsia="en-US"/>
        </w:rPr>
        <w:fldChar w:fldCharType="begin" w:fldLock="1"/>
      </w:r>
      <w:r w:rsidR="003901BE">
        <w:rPr>
          <w:rFonts w:eastAsiaTheme="minorHAnsi"/>
          <w:color w:val="auto"/>
          <w:szCs w:val="24"/>
          <w:lang w:eastAsia="en-US"/>
        </w:rPr>
        <w:instrText>ADDIN CSL_CITATION { "citationItems" : [ { "id" : "ITEM-1", "itemData" : { "DOI" : "dx.doi.org/10.1016/j.ultsonch.2015.05.040", "author" : [ { "dropping-particle" : "", "family" : "Cruz-Cansino", "given" : "Nelly Del Socorro", "non-dropping-particle" : "", "parse-names" : false, "suffix" : "" }, { "dropping-particle" : "", "family" : "Ram\u00edrez-Moreno", "given" : "Esther", "non-dropping-particle" : "", "parse-names" : false, "suffix" : "" }, { "dropping-particle" : "", "family" : "Le\u00edn-Rivera", "given" : "Jes\u00fas Ernesto", "non-dropping-particle" : "", "parse-names" : false, "suffix" : "" }, { "dropping-particle" : "", "family" : "Delgado-Olivares", "given" : "Luis", "non-dropping-particle" : "", "parse-names" : false, "suffix" : "" }, { "dropping-particle" : "", "family" : "Alan\u00eds-Garc\u00eda", "given" : "Ernesto", "non-dropping-particle" : "", "parse-names" : false, "suffix" : "" }, { "dropping-particle" : "", "family" : "Ariza-Ortega", "given" : "Jos\u00e9 Alberto", "non-dropping-particle" : "", "parse-names" : false, "suffix" : "" }, { "dropping-particle" : "", "family" : "Manrquez-Torres", "given" : "Jos\u00e9 De Jes\u00fas", "non-dropping-particle" : "", "parse-names" : false, "suffix" : "" }, { "dropping-particle" : "", "family" : "Jaramillo-Bustos", "given" : "Diana Pamela", "non-dropping-particle" : "", "parse-names" : false, "suffix" : "" } ], "container-title" : "Ultrasonics Sonochemistry", "id" : "ITEM-1", "issued" : { "date-parts" : [ [ "2015" ] ] }, "page" : "277-286", "title" : "Shelf life, physicochemical, microbiological and antioxidant properties of purple cactus pear (Opuntia ficus indica) juice after thermoultrasound treatment", "type" : "article-journal", "volume" : "7" }, "uris" : [ "http://www.mendeley.com/documents/?uuid=8e846e4a-5927-49d5-8863-190c61ffab84" ] } ], "mendeley" : { "formattedCitation" : "(Cruz-Cansino et al., 2015)", "manualFormatting" : "Cruz-Cansino et al., (2015", "plainTextFormattedCitation" : "(Cruz-Cansino et al., 2015)", "previouslyFormattedCitation" : "(Cruz-Cansino et al., 2015)" }, "properties" : { "noteIndex" : 0 }, "schema" : "https://github.com/citation-style-language/schema/raw/master/csl-citation.json" }</w:instrText>
      </w:r>
      <w:r w:rsidR="0064084D">
        <w:rPr>
          <w:rFonts w:eastAsiaTheme="minorHAnsi"/>
          <w:color w:val="auto"/>
          <w:szCs w:val="24"/>
          <w:lang w:eastAsia="en-US"/>
        </w:rPr>
        <w:fldChar w:fldCharType="separate"/>
      </w:r>
      <w:r w:rsidR="0064084D" w:rsidRPr="0064084D">
        <w:rPr>
          <w:rFonts w:eastAsiaTheme="minorHAnsi"/>
          <w:noProof/>
          <w:color w:val="auto"/>
          <w:szCs w:val="24"/>
          <w:lang w:eastAsia="en-US"/>
        </w:rPr>
        <w:t xml:space="preserve">Cruz-Cansino et al., </w:t>
      </w:r>
      <w:r w:rsidR="003901BE">
        <w:rPr>
          <w:rFonts w:eastAsiaTheme="minorHAnsi"/>
          <w:noProof/>
          <w:color w:val="auto"/>
          <w:szCs w:val="24"/>
          <w:lang w:eastAsia="en-US"/>
        </w:rPr>
        <w:t>(</w:t>
      </w:r>
      <w:r w:rsidR="0064084D" w:rsidRPr="0064084D">
        <w:rPr>
          <w:rFonts w:eastAsiaTheme="minorHAnsi"/>
          <w:noProof/>
          <w:color w:val="auto"/>
          <w:szCs w:val="24"/>
          <w:lang w:eastAsia="en-US"/>
        </w:rPr>
        <w:t>2015</w:t>
      </w:r>
      <w:r w:rsidR="0064084D">
        <w:rPr>
          <w:rFonts w:eastAsiaTheme="minorHAnsi"/>
          <w:color w:val="auto"/>
          <w:szCs w:val="24"/>
          <w:lang w:eastAsia="en-US"/>
        </w:rPr>
        <w:fldChar w:fldCharType="end"/>
      </w:r>
      <w:r w:rsidR="003901BE">
        <w:rPr>
          <w:rFonts w:eastAsiaTheme="minorHAnsi"/>
          <w:color w:val="auto"/>
          <w:szCs w:val="24"/>
          <w:lang w:eastAsia="en-US"/>
        </w:rPr>
        <w:t>)</w:t>
      </w:r>
      <w:r w:rsidR="00D70225">
        <w:rPr>
          <w:rFonts w:eastAsiaTheme="minorHAnsi"/>
          <w:color w:val="auto"/>
          <w:szCs w:val="24"/>
          <w:lang w:eastAsia="en-US"/>
        </w:rPr>
        <w:t xml:space="preserve"> </w:t>
      </w:r>
      <w:r w:rsidR="003901BE">
        <w:rPr>
          <w:rFonts w:eastAsiaTheme="minorHAnsi"/>
          <w:color w:val="auto"/>
          <w:szCs w:val="24"/>
          <w:lang w:eastAsia="en-US"/>
        </w:rPr>
        <w:t xml:space="preserve">no qual </w:t>
      </w:r>
      <w:r w:rsidR="00D70225">
        <w:rPr>
          <w:rFonts w:eastAsiaTheme="minorHAnsi"/>
          <w:color w:val="auto"/>
          <w:szCs w:val="24"/>
          <w:lang w:eastAsia="en-US"/>
        </w:rPr>
        <w:t xml:space="preserve">a atividade antioxidante </w:t>
      </w:r>
      <w:r w:rsidR="003901BE">
        <w:rPr>
          <w:rFonts w:eastAsiaTheme="minorHAnsi"/>
          <w:color w:val="auto"/>
          <w:szCs w:val="24"/>
          <w:lang w:eastAsia="en-US"/>
        </w:rPr>
        <w:t>varia</w:t>
      </w:r>
      <w:r w:rsidR="00A75AB6">
        <w:rPr>
          <w:rFonts w:eastAsiaTheme="minorHAnsi"/>
          <w:color w:val="auto"/>
          <w:szCs w:val="24"/>
          <w:lang w:eastAsia="en-US"/>
        </w:rPr>
        <w:t xml:space="preserve"> </w:t>
      </w:r>
      <w:r w:rsidR="004C183F">
        <w:rPr>
          <w:rFonts w:eastAsiaTheme="minorHAnsi"/>
          <w:color w:val="auto"/>
          <w:szCs w:val="24"/>
          <w:lang w:eastAsia="en-US"/>
        </w:rPr>
        <w:t>entre 20.21 e 14.0 mg/g (Figura 23).</w:t>
      </w:r>
    </w:p>
    <w:p w14:paraId="43F52E1E" w14:textId="77777777" w:rsidR="007F723B" w:rsidRPr="007F723B" w:rsidRDefault="007F723B" w:rsidP="007F723B">
      <w:pPr>
        <w:spacing w:after="160" w:line="360" w:lineRule="auto"/>
        <w:ind w:left="0" w:right="0" w:firstLine="0"/>
        <w:rPr>
          <w:rFonts w:eastAsiaTheme="minorHAnsi"/>
          <w:color w:val="auto"/>
          <w:szCs w:val="24"/>
          <w:lang w:eastAsia="en-US"/>
        </w:rPr>
      </w:pPr>
      <w:r w:rsidRPr="007F723B">
        <w:rPr>
          <w:szCs w:val="24"/>
        </w:rPr>
        <w:lastRenderedPageBreak/>
        <w:t>A casca apresentou significativamente maior (</w:t>
      </w:r>
      <w:proofErr w:type="gramStart"/>
      <w:r w:rsidRPr="007F723B">
        <w:rPr>
          <w:szCs w:val="24"/>
        </w:rPr>
        <w:t>p&lt;0.</w:t>
      </w:r>
      <w:proofErr w:type="gramEnd"/>
      <w:r w:rsidRPr="007F723B">
        <w:rPr>
          <w:szCs w:val="24"/>
        </w:rPr>
        <w:t>05) atividade antioxidante do que a polpa em todos os ecótipos/cultivares.</w:t>
      </w:r>
    </w:p>
    <w:p w14:paraId="2FF7122F" w14:textId="77777777" w:rsidR="007F723B" w:rsidRDefault="007F723B" w:rsidP="00F20BAE">
      <w:pPr>
        <w:keepNext/>
        <w:jc w:val="center"/>
      </w:pPr>
      <w:r>
        <w:rPr>
          <w:noProof/>
        </w:rPr>
        <w:drawing>
          <wp:inline distT="0" distB="0" distL="0" distR="0" wp14:anchorId="77AF7B9C" wp14:editId="7CB8FBAE">
            <wp:extent cx="4572000" cy="274320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4817462" w14:textId="53845989" w:rsidR="007F723B" w:rsidRPr="006C2067" w:rsidRDefault="007F723B" w:rsidP="00F20BAE">
      <w:pPr>
        <w:pStyle w:val="Legenda"/>
        <w:ind w:right="-1"/>
        <w:rPr>
          <w:rFonts w:eastAsiaTheme="minorHAnsi"/>
          <w:i w:val="0"/>
          <w:color w:val="auto"/>
          <w:sz w:val="20"/>
          <w:szCs w:val="20"/>
          <w:lang w:eastAsia="en-US"/>
        </w:rPr>
      </w:pPr>
      <w:bookmarkStart w:id="313" w:name="_Toc479333898"/>
      <w:r>
        <w:t xml:space="preserve">Figura </w:t>
      </w:r>
      <w:r w:rsidR="00805B44">
        <w:fldChar w:fldCharType="begin"/>
      </w:r>
      <w:r w:rsidR="00805B44">
        <w:instrText xml:space="preserve"> SEQ Figura \* ARABIC </w:instrText>
      </w:r>
      <w:r w:rsidR="00805B44">
        <w:fldChar w:fldCharType="separate"/>
      </w:r>
      <w:r w:rsidR="005F28B4">
        <w:rPr>
          <w:noProof/>
        </w:rPr>
        <w:t>23</w:t>
      </w:r>
      <w:r w:rsidR="00805B44">
        <w:rPr>
          <w:noProof/>
        </w:rPr>
        <w:fldChar w:fldCharType="end"/>
      </w:r>
      <w:r>
        <w:t xml:space="preserve"> </w:t>
      </w:r>
      <w:r w:rsidRPr="007F723B">
        <w:rPr>
          <w:rFonts w:eastAsiaTheme="minorHAnsi"/>
          <w:color w:val="auto"/>
          <w:sz w:val="22"/>
          <w:lang w:eastAsia="en-US"/>
        </w:rPr>
        <w:t xml:space="preserve">- </w:t>
      </w:r>
      <w:r w:rsidRPr="006C2067">
        <w:rPr>
          <w:rFonts w:eastAsiaTheme="minorHAnsi"/>
          <w:i w:val="0"/>
          <w:color w:val="auto"/>
          <w:sz w:val="20"/>
          <w:szCs w:val="20"/>
          <w:lang w:eastAsia="en-US"/>
        </w:rPr>
        <w:t xml:space="preserve">Atividade antioxidante (método DPPH) dos frutos de quatro diferentes ecótipos/cultivares do figo-da-índia (‘laranja’, ‘verde’, ‘Rosso’ e ‘Gialla’). Os valores representam uma média de 3 amostras por cultivar. As barras referentes à casca com a mesma letra maiúscula e barras referentes à polpa com a mesma letra minúscula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 xml:space="preserve">05). As duas barras com NS, * ou *** no topo não são significativamente diferentes ou são significativamente diferentes para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 ou P &lt;0.01</w:t>
      </w:r>
      <w:bookmarkEnd w:id="313"/>
    </w:p>
    <w:p w14:paraId="655AAF3D" w14:textId="77777777" w:rsidR="007F723B" w:rsidRDefault="007F723B" w:rsidP="007F723B">
      <w:pPr>
        <w:pStyle w:val="Legenda"/>
        <w:rPr>
          <w:rFonts w:eastAsiaTheme="minorHAnsi"/>
          <w:lang w:eastAsia="en-US"/>
        </w:rPr>
      </w:pPr>
    </w:p>
    <w:p w14:paraId="6301969E" w14:textId="77777777" w:rsidR="007F723B" w:rsidRDefault="007F723B" w:rsidP="007F723B">
      <w:pPr>
        <w:pStyle w:val="Cabealho3"/>
        <w:rPr>
          <w:rFonts w:ascii="Times New Roman" w:hAnsi="Times New Roman" w:cs="Times New Roman"/>
          <w:color w:val="auto"/>
          <w:lang w:eastAsia="en-US"/>
        </w:rPr>
      </w:pPr>
      <w:bookmarkStart w:id="314" w:name="_Toc462709797"/>
      <w:bookmarkStart w:id="315" w:name="_Toc479154872"/>
      <w:r w:rsidRPr="007F723B">
        <w:rPr>
          <w:rFonts w:ascii="Times New Roman" w:hAnsi="Times New Roman" w:cs="Times New Roman"/>
          <w:color w:val="auto"/>
          <w:lang w:eastAsia="en-US"/>
        </w:rPr>
        <w:t>3.1.3 Flavonoides</w:t>
      </w:r>
      <w:bookmarkEnd w:id="314"/>
      <w:bookmarkEnd w:id="315"/>
    </w:p>
    <w:p w14:paraId="4EFC14F9" w14:textId="77777777" w:rsidR="007F723B" w:rsidRPr="007F723B" w:rsidRDefault="007F723B" w:rsidP="007F723B">
      <w:pPr>
        <w:rPr>
          <w:rFonts w:eastAsiaTheme="minorHAnsi"/>
          <w:lang w:eastAsia="en-US"/>
        </w:rPr>
      </w:pPr>
    </w:p>
    <w:p w14:paraId="37BD6BAD" w14:textId="5E6F7715" w:rsidR="007F723B" w:rsidRPr="007F723B" w:rsidRDefault="00A75AB6" w:rsidP="007F723B">
      <w:pPr>
        <w:spacing w:after="160" w:line="360" w:lineRule="auto"/>
        <w:ind w:left="0" w:right="0" w:firstLine="0"/>
        <w:rPr>
          <w:rFonts w:eastAsiaTheme="minorHAnsi"/>
          <w:color w:val="auto"/>
          <w:lang w:eastAsia="en-US"/>
        </w:rPr>
      </w:pPr>
      <w:r>
        <w:rPr>
          <w:rFonts w:eastAsiaTheme="minorHAnsi"/>
          <w:color w:val="auto"/>
          <w:lang w:eastAsia="en-US"/>
        </w:rPr>
        <w:t>Os flavonó</w:t>
      </w:r>
      <w:r w:rsidR="007F723B" w:rsidRPr="007F723B">
        <w:rPr>
          <w:rFonts w:eastAsiaTheme="minorHAnsi"/>
          <w:color w:val="auto"/>
          <w:lang w:eastAsia="en-US"/>
        </w:rPr>
        <w:t>ides são normalmente encontrados em fruta e vegetais. Este</w:t>
      </w:r>
      <w:r w:rsidR="00D70225">
        <w:rPr>
          <w:rFonts w:eastAsiaTheme="minorHAnsi"/>
          <w:color w:val="auto"/>
          <w:lang w:eastAsia="en-US"/>
        </w:rPr>
        <w:t>s</w:t>
      </w:r>
      <w:r w:rsidR="007F723B" w:rsidRPr="007F723B">
        <w:rPr>
          <w:rFonts w:eastAsiaTheme="minorHAnsi"/>
          <w:color w:val="auto"/>
          <w:lang w:eastAsia="en-US"/>
        </w:rPr>
        <w:t xml:space="preserve"> pertencem a um vasto grupo de compostos polifenólicos, são metabolitos secundários responsáveis por uma grande utilidade farmacológica derivado das suas propriedades físicas, químicas e fisiológicas </w:t>
      </w:r>
      <w:r w:rsidR="007F723B" w:rsidRPr="007F723B">
        <w:rPr>
          <w:rFonts w:eastAsiaTheme="minorHAnsi"/>
          <w:color w:val="auto"/>
          <w:lang w:eastAsia="en-US"/>
        </w:rPr>
        <w:fldChar w:fldCharType="begin" w:fldLock="1"/>
      </w:r>
      <w:r w:rsidR="007F723B" w:rsidRPr="007F723B">
        <w:rPr>
          <w:rFonts w:eastAsiaTheme="minorHAnsi"/>
          <w:color w:val="auto"/>
          <w:lang w:eastAsia="en-US"/>
        </w:rPr>
        <w:instrText>ADDIN CSL_CITATION { "citationItems" : [ { "id" : "ITEM-1", "itemData" : { "author" : [ { "dropping-particle" : "", "family" : "Shashank", "given" : "K", "non-dropping-particle" : "", "parse-names" : false, "suffix" : "" }, { "dropping-particle" : "", "family" : "Abhay", "given" : "KP", "non-dropping-particle" : "", "parse-names" : false, "suffix" : "" } ], "container-title" : "The Scientif World Journal", "id" : "ITEM-1", "issue" : "2", "issued" : { "date-parts" : [ [ "2013" ] ] }, "page" : "32-48", "title" : "Chemistry and Biological Activities of Flavonoids: An Overview", "type" : "article-journal", "volume" : "4" }, "uris" : [ "http://www.mendeley.com/documents/?uuid=5e54d48a-1c62-4299-a252-1bf8d8919f34" ] } ], "mendeley" : { "formattedCitation" : "(Shashank &amp; Abhay, 2013)", "plainTextFormattedCitation" : "(Shashank &amp; Abhay, 2013)", "previouslyFormattedCitation" : "(Shashank &amp; Abhay, 2013)" }, "properties" : { "noteIndex" : 0 }, "schema" : "https://github.com/citation-style-language/schema/raw/master/csl-citation.json" }</w:instrText>
      </w:r>
      <w:r w:rsidR="007F723B" w:rsidRPr="007F723B">
        <w:rPr>
          <w:rFonts w:eastAsiaTheme="minorHAnsi"/>
          <w:color w:val="auto"/>
          <w:lang w:eastAsia="en-US"/>
        </w:rPr>
        <w:fldChar w:fldCharType="separate"/>
      </w:r>
      <w:r w:rsidR="007F723B" w:rsidRPr="007F723B">
        <w:rPr>
          <w:rFonts w:eastAsiaTheme="minorHAnsi"/>
          <w:noProof/>
          <w:color w:val="auto"/>
          <w:lang w:eastAsia="en-US"/>
        </w:rPr>
        <w:t>(Shashank &amp; Abhay, 2013)</w:t>
      </w:r>
      <w:r w:rsidR="007F723B" w:rsidRPr="007F723B">
        <w:rPr>
          <w:rFonts w:eastAsiaTheme="minorHAnsi"/>
          <w:color w:val="auto"/>
          <w:lang w:eastAsia="en-US"/>
        </w:rPr>
        <w:fldChar w:fldCharType="end"/>
      </w:r>
      <w:r w:rsidR="007F723B" w:rsidRPr="007F723B">
        <w:rPr>
          <w:rFonts w:eastAsiaTheme="minorHAnsi"/>
          <w:color w:val="auto"/>
          <w:lang w:eastAsia="en-US"/>
        </w:rPr>
        <w:t>.</w:t>
      </w:r>
    </w:p>
    <w:p w14:paraId="78D88FCE" w14:textId="77777777" w:rsidR="007F723B" w:rsidRP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t>Através do método de cloreto de alumínio é possível quantificar o teor de flavonoides presentes na casca e na polpa.</w:t>
      </w:r>
    </w:p>
    <w:p w14:paraId="2711C860" w14:textId="60CFFCFA" w:rsidR="007F723B" w:rsidRP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t xml:space="preserve">Este método baseou-se na capacidade do catião alumínio formar complexos estáveis com o hidroxilo dos flavonoides levando à formação de um produto amarelo </w:t>
      </w:r>
      <w:r w:rsidRPr="007F723B">
        <w:rPr>
          <w:rFonts w:eastAsiaTheme="minorHAnsi"/>
          <w:color w:val="auto"/>
          <w:lang w:eastAsia="en-US"/>
        </w:rPr>
        <w:fldChar w:fldCharType="begin" w:fldLock="1"/>
      </w:r>
      <w:r w:rsidR="00BD1ECB">
        <w:rPr>
          <w:rFonts w:eastAsiaTheme="minorHAnsi"/>
          <w:color w:val="auto"/>
          <w:lang w:eastAsia="en-US"/>
        </w:rPr>
        <w:instrText>ADDIN CSL_CITATION { "citationItems" : [ { "id" : "ITEM-1", "itemData" : { "author" : [ { "dropping-particle" : "", "family" : "Medronho", "given" : "Joana Cristina Pereira", "non-dropping-particle" : "", "parse-names" : false, "suffix" : "" } ], "id" : "ITEM-1", "issued" : { "date-parts" : [ [ "2015" ] ] }, "number-of-pages" : "1-75", "publisher" : "Universidade do Algarve", "title" : "Avalia\u00e7\u00e3o da atividade Biol\u00f3gica em teor de fen\u00f3is de diferentes extratos de Palmeira An\u00e3 (Chamaerops Humilis L.)", "type" : "thesis" }, "uris" : [ "http://www.mendeley.com/documents/?uuid=05e49645-3bd2-4d0d-842d-c04463b5890b" ] } ], "mendeley" : { "formattedCitation" : "(Medronho, 2015)", "plainTextFormattedCitation" : "(Medronho, 2015)", "previouslyFormattedCitation" : "(Medronho, 2015)" }, "properties" : { "noteIndex" : 0 }, "schema" : "https://github.com/citation-style-language/schema/raw/master/csl-citation.json" }</w:instrText>
      </w:r>
      <w:r w:rsidRPr="007F723B">
        <w:rPr>
          <w:rFonts w:eastAsiaTheme="minorHAnsi"/>
          <w:color w:val="auto"/>
          <w:lang w:eastAsia="en-US"/>
        </w:rPr>
        <w:fldChar w:fldCharType="separate"/>
      </w:r>
      <w:r w:rsidRPr="007F723B">
        <w:rPr>
          <w:rFonts w:eastAsiaTheme="minorHAnsi"/>
          <w:noProof/>
          <w:color w:val="auto"/>
          <w:lang w:eastAsia="en-US"/>
        </w:rPr>
        <w:t>(Medronho, 2015)</w:t>
      </w:r>
      <w:r w:rsidRPr="007F723B">
        <w:rPr>
          <w:rFonts w:eastAsiaTheme="minorHAnsi"/>
          <w:color w:val="auto"/>
          <w:lang w:eastAsia="en-US"/>
        </w:rPr>
        <w:fldChar w:fldCharType="end"/>
      </w:r>
      <w:r w:rsidRPr="007F723B">
        <w:rPr>
          <w:rFonts w:eastAsiaTheme="minorHAnsi"/>
          <w:color w:val="auto"/>
          <w:lang w:eastAsia="en-US"/>
        </w:rPr>
        <w:t>.</w:t>
      </w:r>
    </w:p>
    <w:p w14:paraId="7040CC23" w14:textId="61D1854C" w:rsidR="007F723B" w:rsidRPr="007F723B" w:rsidRDefault="004C183F" w:rsidP="007F723B">
      <w:pPr>
        <w:spacing w:after="160" w:line="360" w:lineRule="auto"/>
        <w:ind w:left="0" w:right="0" w:firstLine="0"/>
        <w:rPr>
          <w:rFonts w:eastAsiaTheme="minorHAnsi"/>
          <w:color w:val="auto"/>
          <w:lang w:eastAsia="en-US"/>
        </w:rPr>
      </w:pPr>
      <w:r>
        <w:rPr>
          <w:rFonts w:eastAsiaTheme="minorHAnsi"/>
          <w:color w:val="auto"/>
          <w:lang w:eastAsia="en-US"/>
        </w:rPr>
        <w:t>Analisando a Fi</w:t>
      </w:r>
      <w:r w:rsidR="007F723B" w:rsidRPr="007F723B">
        <w:rPr>
          <w:rFonts w:eastAsiaTheme="minorHAnsi"/>
          <w:color w:val="auto"/>
          <w:lang w:eastAsia="en-US"/>
        </w:rPr>
        <w:t>gura 24</w:t>
      </w:r>
      <w:r>
        <w:rPr>
          <w:rFonts w:eastAsiaTheme="minorHAnsi"/>
          <w:color w:val="auto"/>
          <w:lang w:eastAsia="en-US"/>
        </w:rPr>
        <w:t xml:space="preserve"> verifica-se</w:t>
      </w:r>
      <w:r w:rsidR="007F723B" w:rsidRPr="007F723B">
        <w:rPr>
          <w:rFonts w:eastAsiaTheme="minorHAnsi"/>
          <w:color w:val="auto"/>
          <w:lang w:eastAsia="en-US"/>
        </w:rPr>
        <w:t xml:space="preserve"> que a casca apresentou uma maior quantidade de flavonoides que a polpa</w:t>
      </w:r>
      <w:r w:rsidR="009A0846">
        <w:rPr>
          <w:rFonts w:eastAsiaTheme="minorHAnsi"/>
          <w:color w:val="auto"/>
          <w:lang w:eastAsia="en-US"/>
        </w:rPr>
        <w:t>,</w:t>
      </w:r>
      <w:r w:rsidR="007F723B" w:rsidRPr="007F723B">
        <w:rPr>
          <w:rFonts w:eastAsiaTheme="minorHAnsi"/>
          <w:color w:val="auto"/>
          <w:lang w:eastAsia="en-US"/>
        </w:rPr>
        <w:t xml:space="preserve"> </w:t>
      </w:r>
      <w:r w:rsidR="009A0846">
        <w:rPr>
          <w:rFonts w:eastAsiaTheme="minorHAnsi"/>
          <w:color w:val="auto"/>
          <w:lang w:eastAsia="en-US"/>
        </w:rPr>
        <w:t xml:space="preserve">o mesmo </w:t>
      </w:r>
      <w:r w:rsidR="00D70225">
        <w:rPr>
          <w:rFonts w:eastAsiaTheme="minorHAnsi"/>
          <w:color w:val="auto"/>
          <w:lang w:eastAsia="en-US"/>
        </w:rPr>
        <w:t xml:space="preserve">foi </w:t>
      </w:r>
      <w:r w:rsidR="009A0846">
        <w:rPr>
          <w:rFonts w:eastAsiaTheme="minorHAnsi"/>
          <w:color w:val="auto"/>
          <w:lang w:eastAsia="en-US"/>
        </w:rPr>
        <w:t>verific</w:t>
      </w:r>
      <w:r w:rsidR="00D70225">
        <w:rPr>
          <w:rFonts w:eastAsiaTheme="minorHAnsi"/>
          <w:color w:val="auto"/>
          <w:lang w:eastAsia="en-US"/>
        </w:rPr>
        <w:t xml:space="preserve">ado </w:t>
      </w:r>
      <w:r w:rsidR="009A0846">
        <w:rPr>
          <w:rFonts w:eastAsiaTheme="minorHAnsi"/>
          <w:color w:val="auto"/>
          <w:lang w:eastAsia="en-US"/>
        </w:rPr>
        <w:t xml:space="preserve">por </w:t>
      </w:r>
      <w:r w:rsidR="007F723B" w:rsidRPr="007F723B">
        <w:rPr>
          <w:rFonts w:eastAsiaTheme="minorHAnsi"/>
          <w:color w:val="auto"/>
          <w:lang w:eastAsia="en-US"/>
        </w:rPr>
        <w:fldChar w:fldCharType="begin" w:fldLock="1"/>
      </w:r>
      <w:r w:rsidR="009A0846">
        <w:rPr>
          <w:rFonts w:eastAsiaTheme="minorHAnsi"/>
          <w:color w:val="auto"/>
          <w:lang w:eastAsia="en-US"/>
        </w:rPr>
        <w:instrText>ADDIN CSL_CITATION { "citationItems" : [ { "id" : "ITEM-1", "itemData" : { "DOI" : "10.3390/antiox2020037", "ISBN" : "2169850570", "ISSN" : "2076-3921", "author" : [ { "dropping-particle" : "", "family" : "Yeddes", "given" : "Nizar", "non-dropping-particle" : "", "parse-names" : false, "suffix" : "" }, { "dropping-particle" : "", "family" : "Ch\u00e9rif", "given" : "Jamila", "non-dropping-particle" : "", "parse-names" : false, "suffix" : "" }, { "dropping-particle" : "", "family" : "Guyot", "given" : "Sylvain", "non-dropping-particle" : "", "parse-names" : false, "suffix" : "" }, { "dropping-particle" : "", "family" : "Sotin", "given" : "H\u00e9l\u00e8ne", "non-dropping-particle" : "", "parse-names" : false, "suffix" : "" }, { "dropping-particle" : "", "family" : "Ayadi", "given" : "Malika", "non-dropping-particle" : "", "parse-names" : false, "suffix" : "" } ], "container-title" : "Antioxidants", "id" : "ITEM-1", "issue" : "2", "issued" : { "date-parts" : [ [ "2013" ] ] }, "page" : "37-51", "title" : "Comparative Study of Antioxidant Power, Polyphenols, Flavonoids and Betacyanins of the Peel and Pulp of Three Tunisian Opuntia Forms", "type" : "article-journal", "volume" : "2" }, "uris" : [ "http://www.mendeley.com/documents/?uuid=4c0ac7ba-d866-4b7b-ad8d-540fcbc4d34e" ] } ], "mendeley" : { "formattedCitation" : "(Yeddes et al., 2013)", "manualFormatting" : "Yeddes et al., (2013)", "plainTextFormattedCitation" : "(Yeddes et al., 2013)", "previouslyFormattedCitation" : "(Yeddes et al., 2013)" }, "properties" : { "noteIndex" : 0 }, "schema" : "https://github.com/citation-style-language/schema/raw/master/csl-citation.json" }</w:instrText>
      </w:r>
      <w:r w:rsidR="007F723B" w:rsidRPr="007F723B">
        <w:rPr>
          <w:rFonts w:eastAsiaTheme="minorHAnsi"/>
          <w:color w:val="auto"/>
          <w:lang w:eastAsia="en-US"/>
        </w:rPr>
        <w:fldChar w:fldCharType="separate"/>
      </w:r>
      <w:r w:rsidR="007F723B" w:rsidRPr="007F723B">
        <w:rPr>
          <w:rFonts w:eastAsiaTheme="minorHAnsi"/>
          <w:noProof/>
          <w:color w:val="auto"/>
          <w:lang w:eastAsia="en-US"/>
        </w:rPr>
        <w:t>Yedde</w:t>
      </w:r>
      <w:r w:rsidR="00917429">
        <w:rPr>
          <w:rFonts w:eastAsiaTheme="minorHAnsi"/>
          <w:noProof/>
          <w:color w:val="auto"/>
          <w:lang w:eastAsia="en-US"/>
        </w:rPr>
        <w:t>s et al.</w:t>
      </w:r>
      <w:r w:rsidR="007F723B" w:rsidRPr="007F723B">
        <w:rPr>
          <w:rFonts w:eastAsiaTheme="minorHAnsi"/>
          <w:noProof/>
          <w:color w:val="auto"/>
          <w:lang w:eastAsia="en-US"/>
        </w:rPr>
        <w:t xml:space="preserve">, </w:t>
      </w:r>
      <w:r w:rsidR="009A0846">
        <w:rPr>
          <w:rFonts w:eastAsiaTheme="minorHAnsi"/>
          <w:noProof/>
          <w:color w:val="auto"/>
          <w:lang w:eastAsia="en-US"/>
        </w:rPr>
        <w:t>(</w:t>
      </w:r>
      <w:r w:rsidR="007F723B" w:rsidRPr="007F723B">
        <w:rPr>
          <w:rFonts w:eastAsiaTheme="minorHAnsi"/>
          <w:noProof/>
          <w:color w:val="auto"/>
          <w:lang w:eastAsia="en-US"/>
        </w:rPr>
        <w:t>2013)</w:t>
      </w:r>
      <w:r w:rsidR="007F723B" w:rsidRPr="007F723B">
        <w:rPr>
          <w:rFonts w:eastAsiaTheme="minorHAnsi"/>
          <w:color w:val="auto"/>
          <w:lang w:eastAsia="en-US"/>
        </w:rPr>
        <w:fldChar w:fldCharType="end"/>
      </w:r>
      <w:r w:rsidR="007F723B" w:rsidRPr="007F723B">
        <w:rPr>
          <w:rFonts w:eastAsiaTheme="minorHAnsi"/>
          <w:color w:val="auto"/>
          <w:lang w:eastAsia="en-US"/>
        </w:rPr>
        <w:t>. Nas diferentes cultivares</w:t>
      </w:r>
      <w:r w:rsidR="00ED337F">
        <w:rPr>
          <w:rFonts w:eastAsiaTheme="minorHAnsi"/>
          <w:color w:val="auto"/>
          <w:lang w:eastAsia="en-US"/>
        </w:rPr>
        <w:t xml:space="preserve"> </w:t>
      </w:r>
      <w:r w:rsidR="00D70225">
        <w:rPr>
          <w:rFonts w:eastAsiaTheme="minorHAnsi"/>
          <w:color w:val="auto"/>
          <w:lang w:eastAsia="en-US"/>
        </w:rPr>
        <w:t xml:space="preserve">e </w:t>
      </w:r>
      <w:r w:rsidR="007F723B" w:rsidRPr="007F723B">
        <w:rPr>
          <w:rFonts w:eastAsiaTheme="minorHAnsi"/>
          <w:color w:val="auto"/>
          <w:lang w:eastAsia="en-US"/>
        </w:rPr>
        <w:t xml:space="preserve">ecótipos em estudo, o teor de </w:t>
      </w:r>
      <w:r w:rsidR="00A75AB6">
        <w:rPr>
          <w:rFonts w:eastAsiaTheme="minorHAnsi"/>
          <w:color w:val="auto"/>
          <w:lang w:eastAsia="en-US"/>
        </w:rPr>
        <w:t>flavonó</w:t>
      </w:r>
      <w:r w:rsidR="00E17F3F" w:rsidRPr="007F723B">
        <w:rPr>
          <w:rFonts w:eastAsiaTheme="minorHAnsi"/>
          <w:color w:val="auto"/>
          <w:lang w:eastAsia="en-US"/>
        </w:rPr>
        <w:t>ides</w:t>
      </w:r>
      <w:r w:rsidR="00CF14F3">
        <w:rPr>
          <w:rFonts w:eastAsiaTheme="minorHAnsi"/>
          <w:color w:val="auto"/>
          <w:lang w:eastAsia="en-US"/>
        </w:rPr>
        <w:t xml:space="preserve"> na casca</w:t>
      </w:r>
      <w:r w:rsidR="007F723B" w:rsidRPr="007F723B">
        <w:rPr>
          <w:rFonts w:eastAsiaTheme="minorHAnsi"/>
          <w:color w:val="auto"/>
          <w:lang w:eastAsia="en-US"/>
        </w:rPr>
        <w:t xml:space="preserve"> apresentou </w:t>
      </w:r>
      <w:r w:rsidR="007F723B" w:rsidRPr="007F723B">
        <w:rPr>
          <w:rFonts w:eastAsiaTheme="minorHAnsi"/>
          <w:color w:val="auto"/>
          <w:lang w:eastAsia="en-US"/>
        </w:rPr>
        <w:lastRenderedPageBreak/>
        <w:t>maiores valo</w:t>
      </w:r>
      <w:r w:rsidR="00D444B9">
        <w:rPr>
          <w:rFonts w:eastAsiaTheme="minorHAnsi"/>
          <w:color w:val="auto"/>
          <w:lang w:eastAsia="en-US"/>
        </w:rPr>
        <w:t>res no ecótipo laranja (0.67</w:t>
      </w:r>
      <w:r w:rsidR="007F723B" w:rsidRPr="007F723B">
        <w:rPr>
          <w:rFonts w:eastAsiaTheme="minorHAnsi"/>
          <w:color w:val="auto"/>
          <w:lang w:eastAsia="en-US"/>
        </w:rPr>
        <w:t xml:space="preserve"> ± 0.01 mg/</w:t>
      </w:r>
      <w:r w:rsidR="002415D6">
        <w:rPr>
          <w:rFonts w:eastAsiaTheme="minorHAnsi"/>
          <w:color w:val="auto"/>
          <w:lang w:eastAsia="en-US"/>
        </w:rPr>
        <w:t>100</w:t>
      </w:r>
      <w:r w:rsidR="007F723B" w:rsidRPr="007F723B">
        <w:rPr>
          <w:rFonts w:eastAsiaTheme="minorHAnsi"/>
          <w:color w:val="auto"/>
          <w:lang w:eastAsia="en-US"/>
        </w:rPr>
        <w:t>g) seguiu-</w:t>
      </w:r>
      <w:r w:rsidR="00E17F3F">
        <w:rPr>
          <w:rFonts w:eastAsiaTheme="minorHAnsi"/>
          <w:color w:val="auto"/>
          <w:lang w:eastAsia="en-US"/>
        </w:rPr>
        <w:t>se a cultivar ‘Gialla’ (0.6</w:t>
      </w:r>
      <w:r w:rsidR="00D444B9">
        <w:rPr>
          <w:rFonts w:eastAsiaTheme="minorHAnsi"/>
          <w:color w:val="auto"/>
          <w:lang w:eastAsia="en-US"/>
        </w:rPr>
        <w:t>4</w:t>
      </w:r>
      <w:r w:rsidR="00CF14F3">
        <w:rPr>
          <w:rFonts w:eastAsiaTheme="minorHAnsi"/>
          <w:color w:val="auto"/>
          <w:lang w:eastAsia="en-US"/>
        </w:rPr>
        <w:t xml:space="preserve"> ± 0.5 mg/</w:t>
      </w:r>
      <w:r w:rsidR="002415D6">
        <w:rPr>
          <w:rFonts w:eastAsiaTheme="minorHAnsi"/>
          <w:color w:val="auto"/>
          <w:lang w:eastAsia="en-US"/>
        </w:rPr>
        <w:t>100</w:t>
      </w:r>
      <w:r w:rsidR="00CF14F3">
        <w:rPr>
          <w:rFonts w:eastAsiaTheme="minorHAnsi"/>
          <w:color w:val="auto"/>
          <w:lang w:eastAsia="en-US"/>
        </w:rPr>
        <w:t>g)</w:t>
      </w:r>
      <w:r w:rsidR="007F723B" w:rsidRPr="007F723B">
        <w:rPr>
          <w:rFonts w:eastAsiaTheme="minorHAnsi"/>
          <w:color w:val="auto"/>
          <w:lang w:eastAsia="en-US"/>
        </w:rPr>
        <w:t>. Com menores valores apresentou-se a c</w:t>
      </w:r>
      <w:r w:rsidR="00E17F3F">
        <w:rPr>
          <w:rFonts w:eastAsiaTheme="minorHAnsi"/>
          <w:color w:val="auto"/>
          <w:lang w:eastAsia="en-US"/>
        </w:rPr>
        <w:t>ultivar ‘Rosso’ (0.4</w:t>
      </w:r>
      <w:r w:rsidR="00D444B9">
        <w:rPr>
          <w:rFonts w:eastAsiaTheme="minorHAnsi"/>
          <w:color w:val="auto"/>
          <w:lang w:eastAsia="en-US"/>
        </w:rPr>
        <w:t>1</w:t>
      </w:r>
      <w:r w:rsidR="007F723B" w:rsidRPr="007F723B">
        <w:rPr>
          <w:rFonts w:eastAsiaTheme="minorHAnsi"/>
          <w:color w:val="auto"/>
          <w:lang w:eastAsia="en-US"/>
        </w:rPr>
        <w:t xml:space="preserve"> ± 0.1 mg/</w:t>
      </w:r>
      <w:r w:rsidR="002415D6">
        <w:rPr>
          <w:rFonts w:eastAsiaTheme="minorHAnsi"/>
          <w:color w:val="auto"/>
          <w:lang w:eastAsia="en-US"/>
        </w:rPr>
        <w:t>100</w:t>
      </w:r>
      <w:r w:rsidR="007F723B" w:rsidRPr="007F723B">
        <w:rPr>
          <w:rFonts w:eastAsiaTheme="minorHAnsi"/>
          <w:color w:val="auto"/>
          <w:lang w:eastAsia="en-US"/>
        </w:rPr>
        <w:t>g) e por</w:t>
      </w:r>
      <w:r w:rsidR="00E17F3F">
        <w:rPr>
          <w:rFonts w:eastAsiaTheme="minorHAnsi"/>
          <w:color w:val="auto"/>
          <w:lang w:eastAsia="en-US"/>
        </w:rPr>
        <w:t xml:space="preserve"> fim </w:t>
      </w:r>
      <w:r w:rsidR="00D03A03">
        <w:rPr>
          <w:rFonts w:eastAsiaTheme="minorHAnsi"/>
          <w:color w:val="auto"/>
          <w:lang w:eastAsia="en-US"/>
        </w:rPr>
        <w:t xml:space="preserve">o </w:t>
      </w:r>
      <w:r w:rsidR="00E17F3F">
        <w:rPr>
          <w:rFonts w:eastAsiaTheme="minorHAnsi"/>
          <w:color w:val="auto"/>
          <w:lang w:eastAsia="en-US"/>
        </w:rPr>
        <w:t>‘verde</w:t>
      </w:r>
      <w:r w:rsidR="005C4B66">
        <w:rPr>
          <w:rFonts w:eastAsiaTheme="minorHAnsi"/>
          <w:color w:val="auto"/>
          <w:lang w:eastAsia="en-US"/>
        </w:rPr>
        <w:t>’ (</w:t>
      </w:r>
      <w:r w:rsidR="00D36D72">
        <w:rPr>
          <w:rFonts w:eastAsiaTheme="minorHAnsi"/>
          <w:color w:val="auto"/>
          <w:lang w:eastAsia="en-US"/>
        </w:rPr>
        <w:t>0.28</w:t>
      </w:r>
      <w:r w:rsidR="007F723B" w:rsidRPr="007F723B">
        <w:rPr>
          <w:rFonts w:eastAsiaTheme="minorHAnsi"/>
          <w:color w:val="auto"/>
          <w:lang w:eastAsia="en-US"/>
        </w:rPr>
        <w:t xml:space="preserve"> ± 0.02 mg/</w:t>
      </w:r>
      <w:r w:rsidR="002415D6">
        <w:rPr>
          <w:rFonts w:eastAsiaTheme="minorHAnsi"/>
          <w:color w:val="auto"/>
          <w:lang w:eastAsia="en-US"/>
        </w:rPr>
        <w:t>100</w:t>
      </w:r>
      <w:r w:rsidR="007F723B" w:rsidRPr="007F723B">
        <w:rPr>
          <w:rFonts w:eastAsiaTheme="minorHAnsi"/>
          <w:color w:val="auto"/>
          <w:lang w:eastAsia="en-US"/>
        </w:rPr>
        <w:t>g)</w:t>
      </w:r>
      <w:r w:rsidR="00D70225">
        <w:rPr>
          <w:rFonts w:eastAsiaTheme="minorHAnsi"/>
          <w:color w:val="auto"/>
          <w:lang w:eastAsia="en-US"/>
        </w:rPr>
        <w:t>.</w:t>
      </w:r>
      <w:r w:rsidR="00C4111F">
        <w:rPr>
          <w:rFonts w:eastAsiaTheme="minorHAnsi"/>
          <w:color w:val="auto"/>
          <w:lang w:eastAsia="en-US"/>
        </w:rPr>
        <w:t xml:space="preserve"> </w:t>
      </w:r>
      <w:proofErr w:type="gramStart"/>
      <w:r w:rsidR="00C4111F">
        <w:rPr>
          <w:rFonts w:eastAsiaTheme="minorHAnsi"/>
          <w:color w:val="auto"/>
          <w:lang w:eastAsia="en-US"/>
        </w:rPr>
        <w:t>T</w:t>
      </w:r>
      <w:r w:rsidR="00D70225">
        <w:rPr>
          <w:rFonts w:eastAsiaTheme="minorHAnsi"/>
          <w:color w:val="auto"/>
          <w:lang w:eastAsia="en-US"/>
        </w:rPr>
        <w:t>odas as cultivares</w:t>
      </w:r>
      <w:proofErr w:type="gramEnd"/>
      <w:r w:rsidR="00D70225">
        <w:rPr>
          <w:rFonts w:eastAsiaTheme="minorHAnsi"/>
          <w:color w:val="auto"/>
          <w:lang w:eastAsia="en-US"/>
        </w:rPr>
        <w:t xml:space="preserve"> e ecótipos apresentam valores</w:t>
      </w:r>
      <w:r w:rsidR="004B0138">
        <w:rPr>
          <w:rFonts w:eastAsiaTheme="minorHAnsi"/>
          <w:color w:val="auto"/>
          <w:lang w:eastAsia="en-US"/>
        </w:rPr>
        <w:t xml:space="preserve"> abaixo d</w:t>
      </w:r>
      <w:r w:rsidR="00D03A03">
        <w:rPr>
          <w:rFonts w:eastAsiaTheme="minorHAnsi"/>
          <w:color w:val="auto"/>
          <w:lang w:eastAsia="en-US"/>
        </w:rPr>
        <w:t>os</w:t>
      </w:r>
      <w:r w:rsidR="009A0846">
        <w:rPr>
          <w:rFonts w:eastAsiaTheme="minorHAnsi"/>
          <w:color w:val="auto"/>
          <w:lang w:eastAsia="en-US"/>
        </w:rPr>
        <w:t xml:space="preserve"> </w:t>
      </w:r>
      <w:r w:rsidR="00D03A03">
        <w:rPr>
          <w:rFonts w:eastAsiaTheme="minorHAnsi"/>
          <w:color w:val="auto"/>
          <w:lang w:eastAsia="en-US"/>
        </w:rPr>
        <w:t>1.8mg/g -</w:t>
      </w:r>
      <w:r w:rsidR="00A75AB6">
        <w:rPr>
          <w:rFonts w:eastAsiaTheme="minorHAnsi"/>
          <w:color w:val="auto"/>
          <w:lang w:eastAsia="en-US"/>
        </w:rPr>
        <w:t xml:space="preserve"> 2.75mg/g </w:t>
      </w:r>
      <w:r w:rsidR="00D70225">
        <w:rPr>
          <w:rFonts w:eastAsiaTheme="minorHAnsi"/>
          <w:color w:val="auto"/>
          <w:lang w:eastAsia="en-US"/>
        </w:rPr>
        <w:t>referidos</w:t>
      </w:r>
      <w:r w:rsidR="009057D9">
        <w:rPr>
          <w:rFonts w:eastAsiaTheme="minorHAnsi"/>
          <w:color w:val="auto"/>
          <w:lang w:eastAsia="en-US"/>
        </w:rPr>
        <w:t xml:space="preserve"> por </w:t>
      </w:r>
      <w:r w:rsidR="009057D9">
        <w:rPr>
          <w:rFonts w:eastAsiaTheme="minorHAnsi"/>
          <w:color w:val="auto"/>
          <w:lang w:eastAsia="en-US"/>
        </w:rPr>
        <w:fldChar w:fldCharType="begin" w:fldLock="1"/>
      </w:r>
      <w:r w:rsidR="009057D9">
        <w:rPr>
          <w:rFonts w:eastAsiaTheme="minorHAnsi"/>
          <w:color w:val="auto"/>
          <w:lang w:eastAsia="en-US"/>
        </w:rPr>
        <w:instrText>ADDIN CSL_CITATION { "citationItems" : [ { "id" : "ITEM-1", "itemData" : { "DOI" : "10.3390/antiox2020037", "ISBN" : "2169850570", "ISSN" : "2076-3921", "author" : [ { "dropping-particle" : "", "family" : "Yeddes", "given" : "Nizar", "non-dropping-particle" : "", "parse-names" : false, "suffix" : "" }, { "dropping-particle" : "", "family" : "Ch\u00e9rif", "given" : "Jamila", "non-dropping-particle" : "", "parse-names" : false, "suffix" : "" }, { "dropping-particle" : "", "family" : "Guyot", "given" : "Sylvain", "non-dropping-particle" : "", "parse-names" : false, "suffix" : "" }, { "dropping-particle" : "", "family" : "Sotin", "given" : "H\u00e9l\u00e8ne", "non-dropping-particle" : "", "parse-names" : false, "suffix" : "" }, { "dropping-particle" : "", "family" : "Ayadi", "given" : "Malika", "non-dropping-particle" : "", "parse-names" : false, "suffix" : "" } ], "container-title" : "Antioxidants", "id" : "ITEM-1", "issue" : "2", "issued" : { "date-parts" : [ [ "2013" ] ] }, "page" : "37-51", "title" : "Comparative Study of Antioxidant Power, Polyphenols, Flavonoids and Betacyanins of the Peel and Pulp of Three Tunisian Opuntia Forms", "type" : "article-journal", "volume" : "2" }, "uris" : [ "http://www.mendeley.com/documents/?uuid=4c0ac7ba-d866-4b7b-ad8d-540fcbc4d34e" ] } ], "mendeley" : { "formattedCitation" : "(Yeddes et al., 2013)", "manualFormatting" : "Yeddes et al., (2013)", "plainTextFormattedCitation" : "(Yeddes et al., 2013)", "previouslyFormattedCitation" : "(Yeddes et al., 2013)" }, "properties" : { "noteIndex" : 0 }, "schema" : "https://github.com/citation-style-language/schema/raw/master/csl-citation.json" }</w:instrText>
      </w:r>
      <w:r w:rsidR="009057D9">
        <w:rPr>
          <w:rFonts w:eastAsiaTheme="minorHAnsi"/>
          <w:color w:val="auto"/>
          <w:lang w:eastAsia="en-US"/>
        </w:rPr>
        <w:fldChar w:fldCharType="separate"/>
      </w:r>
      <w:r w:rsidR="009057D9" w:rsidRPr="009057D9">
        <w:rPr>
          <w:rFonts w:eastAsiaTheme="minorHAnsi"/>
          <w:noProof/>
          <w:color w:val="auto"/>
          <w:lang w:eastAsia="en-US"/>
        </w:rPr>
        <w:t xml:space="preserve">Yeddes et al., </w:t>
      </w:r>
      <w:r w:rsidR="009057D9">
        <w:rPr>
          <w:rFonts w:eastAsiaTheme="minorHAnsi"/>
          <w:noProof/>
          <w:color w:val="auto"/>
          <w:lang w:eastAsia="en-US"/>
        </w:rPr>
        <w:t>(</w:t>
      </w:r>
      <w:r w:rsidR="009057D9" w:rsidRPr="009057D9">
        <w:rPr>
          <w:rFonts w:eastAsiaTheme="minorHAnsi"/>
          <w:noProof/>
          <w:color w:val="auto"/>
          <w:lang w:eastAsia="en-US"/>
        </w:rPr>
        <w:t>2013)</w:t>
      </w:r>
      <w:r w:rsidR="009057D9">
        <w:rPr>
          <w:rFonts w:eastAsiaTheme="minorHAnsi"/>
          <w:color w:val="auto"/>
          <w:lang w:eastAsia="en-US"/>
        </w:rPr>
        <w:fldChar w:fldCharType="end"/>
      </w:r>
      <w:r w:rsidR="00D03A03">
        <w:rPr>
          <w:rFonts w:eastAsiaTheme="minorHAnsi"/>
          <w:color w:val="auto"/>
          <w:lang w:eastAsia="en-US"/>
        </w:rPr>
        <w:t xml:space="preserve"> e </w:t>
      </w:r>
      <w:r w:rsidR="009A0846">
        <w:rPr>
          <w:rFonts w:eastAsiaTheme="minorHAnsi"/>
          <w:color w:val="auto"/>
          <w:lang w:eastAsia="en-US"/>
        </w:rPr>
        <w:t xml:space="preserve">abaixo de 6.95mg/100g </w:t>
      </w:r>
      <w:r w:rsidR="00CF14F3">
        <w:rPr>
          <w:rFonts w:eastAsiaTheme="minorHAnsi"/>
          <w:color w:val="auto"/>
          <w:lang w:eastAsia="en-US"/>
        </w:rPr>
        <w:t>descrito por</w:t>
      </w:r>
      <w:r w:rsidR="00CF14F3">
        <w:rPr>
          <w:rFonts w:eastAsiaTheme="minorHAnsi"/>
          <w:color w:val="auto"/>
          <w:lang w:eastAsia="en-US"/>
        </w:rPr>
        <w:fldChar w:fldCharType="begin" w:fldLock="1"/>
      </w:r>
      <w:r w:rsidR="00CF14F3">
        <w:rPr>
          <w:rFonts w:eastAsiaTheme="minorHAnsi"/>
          <w:color w:val="auto"/>
          <w:lang w:eastAsia="en-US"/>
        </w:rPr>
        <w:instrText>ADDIN CSL_CITATION { "citationItems" : [ { "id" : "ITEM-1", "itemData" : { "DOI" : "10.3390/molecules190914879", "ISSN" : "14203049", "PMID" : "25232708", "abstract" : "Opuntia ficus-indica, commonly referred to as prickly pear or nopal cactus, is a dicotyledonous angiosperm plant. It belongs to the Cactaceae family and is characterized by its remarkable adaptation to arid and semi-arid climates in tropical and subtropical regions of the globe. In the last decade, compelling evidence for the nutritional and health benefit potential of this cactus has been provided by academic scientists and private companies. Notably, its rich composition in polyphenols, vitamins, polyunsaturated fatty acids and amino acids has been highlighted through the use of a large panel of extraction methods. The identified natural cactus compounds and derivatives were shown to be endowed with biologically relevant activities including anti-inflammatory, antioxidant, hypoglycemic, antimicrobial and neuroprotective properties. The present review is aimed at stressing the major classes of cactus components and their medical interest through emphasis on some of their biological effects, particularly those having the most promising expected health benefit and therapeutic impacts.", "author" : [ { "dropping-particle" : "", "family" : "El-Mostafa", "given" : "Karym", "non-dropping-particle" : "", "parse-names" : false, "suffix" : "" }, { "dropping-particle" : "", "family" : "Kharrassi", "given" : "Youssef", "non-dropping-particle" : "El", "parse-names" : false, "suffix" : "" }, { "dropping-particle" : "", "family" : "Badreddine", "given" : "Asmaa", "non-dropping-particle" : "", "parse-names" : false, "suffix" : "" }, { "dropping-particle" : "", "family" : "Andreoletti", "given" : "Pierre", "non-dropping-particle" : "", "parse-names" : false, "suffix" : "" }, { "dropping-particle" : "", "family" : "Vamecq", "given" : "Joseph", "non-dropping-particle" : "", "parse-names" : false, "suffix" : "" }, { "dropping-particle" : "", "family" : "Kebbaj", "given" : "M'hammed Sa??d", "non-dropping-particle" : "El", "parse-names" : false, "suffix" : "" }, { "dropping-particle" : "", "family" : "Latruffe", "given" : "Norbert", "non-dropping-particle" : "", "parse-names" : false, "suffix" : "" }, { "dropping-particle" : "", "family" : "Lizard", "given" : "G??rard", "non-dropping-particle" : "", "parse-names" : false, "suffix" : "" }, { "dropping-particle" : "", "family" : "Nasser", "given" : "Boubker", "non-dropping-particle" : "", "parse-names" : false, "suffix" : "" }, { "dropping-particle" : "", "family" : "Cherkaoui-Malki", "given" : "Mustapha", "non-dropping-particle" : "", "parse-names" : false, "suffix" : "" } ], "container-title" : "Molecules", "id" : "ITEM-1", "issue" : "9", "issued" : { "date-parts" : [ [ "2014" ] ] }, "page" : "14879-14901", "title" : "Nopal cactus (Opuntia ficus-indica) as a source of bioactive compounds for nutrition, health and disease", "type" : "article-journal", "volume" : "19" }, "uris" : [ "http://www.mendeley.com/documents/?uuid=4f415b30-95a8-4a6f-b098-a424dc5fee0d" ] } ], "mendeley" : { "formattedCitation" : "(El-Mostafa et al., 2014)", "manualFormatting" : " El-Mostafa et al., (2014)", "plainTextFormattedCitation" : "(El-Mostafa et al., 2014)", "previouslyFormattedCitation" : "(El-Mostafa et al., 2014)" }, "properties" : { "noteIndex" : 0 }, "schema" : "https://github.com/citation-style-language/schema/raw/master/csl-citation.json" }</w:instrText>
      </w:r>
      <w:r w:rsidR="00CF14F3">
        <w:rPr>
          <w:rFonts w:eastAsiaTheme="minorHAnsi"/>
          <w:color w:val="auto"/>
          <w:lang w:eastAsia="en-US"/>
        </w:rPr>
        <w:fldChar w:fldCharType="separate"/>
      </w:r>
      <w:r w:rsidR="00CF14F3">
        <w:rPr>
          <w:rFonts w:eastAsiaTheme="minorHAnsi"/>
          <w:noProof/>
          <w:color w:val="auto"/>
          <w:lang w:eastAsia="en-US"/>
        </w:rPr>
        <w:t xml:space="preserve"> </w:t>
      </w:r>
      <w:r w:rsidR="00CF14F3" w:rsidRPr="00CF14F3">
        <w:rPr>
          <w:rFonts w:eastAsiaTheme="minorHAnsi"/>
          <w:noProof/>
          <w:color w:val="auto"/>
          <w:lang w:eastAsia="en-US"/>
        </w:rPr>
        <w:t xml:space="preserve">El-Mostafa et al., </w:t>
      </w:r>
      <w:r w:rsidR="00CF14F3">
        <w:rPr>
          <w:rFonts w:eastAsiaTheme="minorHAnsi"/>
          <w:noProof/>
          <w:color w:val="auto"/>
          <w:lang w:eastAsia="en-US"/>
        </w:rPr>
        <w:t>(</w:t>
      </w:r>
      <w:r w:rsidR="00CF14F3" w:rsidRPr="00CF14F3">
        <w:rPr>
          <w:rFonts w:eastAsiaTheme="minorHAnsi"/>
          <w:noProof/>
          <w:color w:val="auto"/>
          <w:lang w:eastAsia="en-US"/>
        </w:rPr>
        <w:t>2014)</w:t>
      </w:r>
      <w:r w:rsidR="00CF14F3">
        <w:rPr>
          <w:rFonts w:eastAsiaTheme="minorHAnsi"/>
          <w:color w:val="auto"/>
          <w:lang w:eastAsia="en-US"/>
        </w:rPr>
        <w:fldChar w:fldCharType="end"/>
      </w:r>
      <w:r w:rsidR="00CF14F3">
        <w:rPr>
          <w:rFonts w:eastAsiaTheme="minorHAnsi"/>
          <w:color w:val="auto"/>
          <w:lang w:eastAsia="en-US"/>
        </w:rPr>
        <w:t>.</w:t>
      </w:r>
    </w:p>
    <w:p w14:paraId="00E43C93" w14:textId="6D677566" w:rsidR="007F723B" w:rsidRDefault="007F723B" w:rsidP="007F723B">
      <w:pPr>
        <w:spacing w:after="160" w:line="360" w:lineRule="auto"/>
        <w:ind w:left="0" w:right="0" w:firstLine="0"/>
        <w:rPr>
          <w:rFonts w:eastAsiaTheme="minorHAnsi"/>
          <w:color w:val="auto"/>
          <w:lang w:eastAsia="en-US"/>
        </w:rPr>
      </w:pPr>
      <w:r w:rsidRPr="007F723B">
        <w:rPr>
          <w:rFonts w:eastAsiaTheme="minorHAnsi"/>
          <w:color w:val="auto"/>
          <w:lang w:eastAsia="en-US"/>
        </w:rPr>
        <w:t xml:space="preserve">Na polpa o teor de </w:t>
      </w:r>
      <w:r w:rsidR="00D03A03">
        <w:rPr>
          <w:rFonts w:eastAsiaTheme="minorHAnsi"/>
          <w:color w:val="auto"/>
          <w:lang w:eastAsia="en-US"/>
        </w:rPr>
        <w:t>flavonóides não apres</w:t>
      </w:r>
      <w:r w:rsidR="00A75AB6">
        <w:rPr>
          <w:rFonts w:eastAsiaTheme="minorHAnsi"/>
          <w:color w:val="auto"/>
          <w:lang w:eastAsia="en-US"/>
        </w:rPr>
        <w:t>e</w:t>
      </w:r>
      <w:r w:rsidR="00D03A03">
        <w:rPr>
          <w:rFonts w:eastAsiaTheme="minorHAnsi"/>
          <w:color w:val="auto"/>
          <w:lang w:eastAsia="en-US"/>
        </w:rPr>
        <w:t xml:space="preserve">ntou diferenças significativas entre cultivares e ecótipos em estudos, embora o teor </w:t>
      </w:r>
      <w:r w:rsidRPr="007F723B">
        <w:rPr>
          <w:rFonts w:eastAsiaTheme="minorHAnsi"/>
          <w:color w:val="auto"/>
          <w:lang w:eastAsia="en-US"/>
        </w:rPr>
        <w:t xml:space="preserve">mais elevado </w:t>
      </w:r>
      <w:r w:rsidR="00DA79C5">
        <w:rPr>
          <w:rFonts w:eastAsiaTheme="minorHAnsi"/>
          <w:color w:val="auto"/>
          <w:lang w:eastAsia="en-US"/>
        </w:rPr>
        <w:t>tenha sido</w:t>
      </w:r>
      <w:r w:rsidRPr="007F723B">
        <w:rPr>
          <w:rFonts w:eastAsiaTheme="minorHAnsi"/>
          <w:color w:val="auto"/>
          <w:lang w:eastAsia="en-US"/>
        </w:rPr>
        <w:t xml:space="preserve"> encontrad</w:t>
      </w:r>
      <w:r w:rsidR="00E17F3F">
        <w:rPr>
          <w:rFonts w:eastAsiaTheme="minorHAnsi"/>
          <w:color w:val="auto"/>
          <w:lang w:eastAsia="en-US"/>
        </w:rPr>
        <w:t>o no ecótipo ‘laranja’ (0.5</w:t>
      </w:r>
      <w:r w:rsidR="00D36D72">
        <w:rPr>
          <w:rFonts w:eastAsiaTheme="minorHAnsi"/>
          <w:color w:val="auto"/>
          <w:lang w:eastAsia="en-US"/>
        </w:rPr>
        <w:t>0</w:t>
      </w:r>
      <w:r w:rsidRPr="007F723B">
        <w:rPr>
          <w:rFonts w:eastAsiaTheme="minorHAnsi"/>
          <w:color w:val="auto"/>
          <w:lang w:eastAsia="en-US"/>
        </w:rPr>
        <w:t xml:space="preserve"> ± 0.01 mg/</w:t>
      </w:r>
      <w:r w:rsidR="002415D6">
        <w:rPr>
          <w:rFonts w:eastAsiaTheme="minorHAnsi"/>
          <w:color w:val="auto"/>
          <w:lang w:eastAsia="en-US"/>
        </w:rPr>
        <w:t>100</w:t>
      </w:r>
      <w:r w:rsidRPr="007F723B">
        <w:rPr>
          <w:rFonts w:eastAsiaTheme="minorHAnsi"/>
          <w:color w:val="auto"/>
          <w:lang w:eastAsia="en-US"/>
        </w:rPr>
        <w:t>g</w:t>
      </w:r>
      <w:r w:rsidR="00D36D72">
        <w:rPr>
          <w:rFonts w:eastAsiaTheme="minorHAnsi"/>
          <w:color w:val="auto"/>
          <w:lang w:eastAsia="en-US"/>
        </w:rPr>
        <w:t xml:space="preserve">). </w:t>
      </w:r>
      <w:r w:rsidRPr="007F723B">
        <w:rPr>
          <w:rFonts w:eastAsiaTheme="minorHAnsi"/>
          <w:color w:val="auto"/>
          <w:lang w:eastAsia="en-US"/>
        </w:rPr>
        <w:t xml:space="preserve">Todos os resultados foram inferiores </w:t>
      </w:r>
      <w:r w:rsidR="00DA79C5">
        <w:rPr>
          <w:rFonts w:eastAsiaTheme="minorHAnsi"/>
          <w:color w:val="auto"/>
          <w:lang w:eastAsia="en-US"/>
        </w:rPr>
        <w:t>aos da</w:t>
      </w:r>
      <w:r w:rsidRPr="007F723B">
        <w:rPr>
          <w:rFonts w:eastAsiaTheme="minorHAnsi"/>
          <w:color w:val="auto"/>
          <w:lang w:eastAsia="en-US"/>
        </w:rPr>
        <w:t xml:space="preserve"> pesquisa</w:t>
      </w:r>
      <w:r w:rsidR="00DA79C5">
        <w:rPr>
          <w:rFonts w:eastAsiaTheme="minorHAnsi"/>
          <w:color w:val="auto"/>
          <w:lang w:eastAsia="en-US"/>
        </w:rPr>
        <w:t xml:space="preserve"> realizada</w:t>
      </w:r>
      <w:r w:rsidRPr="007F723B">
        <w:rPr>
          <w:rFonts w:eastAsiaTheme="minorHAnsi"/>
          <w:color w:val="auto"/>
          <w:lang w:eastAsia="en-US"/>
        </w:rPr>
        <w:t xml:space="preserve"> por </w:t>
      </w:r>
      <w:r w:rsidRPr="007F723B">
        <w:rPr>
          <w:rFonts w:eastAsiaTheme="minorHAnsi"/>
          <w:color w:val="auto"/>
          <w:lang w:eastAsia="en-US"/>
        </w:rPr>
        <w:fldChar w:fldCharType="begin" w:fldLock="1"/>
      </w:r>
      <w:r w:rsidRPr="007F723B">
        <w:rPr>
          <w:rFonts w:eastAsiaTheme="minorHAnsi"/>
          <w:color w:val="auto"/>
          <w:lang w:eastAsia="en-US"/>
        </w:rPr>
        <w:instrText>ADDIN CSL_CITATION { "citationItems" : [ { "id" : "ITEM-1", "itemData" : { "DOI" : "10.3390/molecules190914879", "ISSN" : "14203049", "PMID" : "25232708", "abstract" : "Opuntia ficus-indica, commonly referred to as prickly pear or nopal cactus, is a dicotyledonous angiosperm plant. It belongs to the Cactaceae family and is characterized by its remarkable adaptation to arid and semi-arid climates in tropical and subtropical regions of the globe. In the last decade, compelling evidence for the nutritional and health benefit potential of this cactus has been provided by academic scientists and private companies. Notably, its rich composition in polyphenols, vitamins, polyunsaturated fatty acids and amino acids has been highlighted through the use of a large panel of extraction methods. The identified natural cactus compounds and derivatives were shown to be endowed with biologically relevant activities including anti-inflammatory, antioxidant, hypoglycemic, antimicrobial and neuroprotective properties. The present review is aimed at stressing the major classes of cactus components and their medical interest through emphasis on some of their biological effects, particularly those having the most promising expected health benefit and therapeutic impacts.", "author" : [ { "dropping-particle" : "", "family" : "El-Mostafa", "given" : "Karym", "non-dropping-particle" : "", "parse-names" : false, "suffix" : "" }, { "dropping-particle" : "", "family" : "Kharrassi", "given" : "Youssef", "non-dropping-particle" : "El", "parse-names" : false, "suffix" : "" }, { "dropping-particle" : "", "family" : "Badreddine", "given" : "Asmaa", "non-dropping-particle" : "", "parse-names" : false, "suffix" : "" }, { "dropping-particle" : "", "family" : "Andreoletti", "given" : "Pierre", "non-dropping-particle" : "", "parse-names" : false, "suffix" : "" }, { "dropping-particle" : "", "family" : "Vamecq", "given" : "Joseph", "non-dropping-particle" : "", "parse-names" : false, "suffix" : "" }, { "dropping-particle" : "", "family" : "Kebbaj", "given" : "M'hammed Sa??d", "non-dropping-particle" : "El", "parse-names" : false, "suffix" : "" }, { "dropping-particle" : "", "family" : "Latruffe", "given" : "Norbert", "non-dropping-particle" : "", "parse-names" : false, "suffix" : "" }, { "dropping-particle" : "", "family" : "Lizard", "given" : "G??rard", "non-dropping-particle" : "", "parse-names" : false, "suffix" : "" }, { "dropping-particle" : "", "family" : "Nasser", "given" : "Boubker", "non-dropping-particle" : "", "parse-names" : false, "suffix" : "" }, { "dropping-particle" : "", "family" : "Cherkaoui-Malki", "given" : "Mustapha", "non-dropping-particle" : "", "parse-names" : false, "suffix" : "" } ], "container-title" : "Molecules", "id" : "ITEM-1", "issue" : "9", "issued" : { "date-parts" : [ [ "2014" ] ] }, "page" : "14879-14901", "title" : "Nopal cactus (Opuntia ficus-indica) as a source of bioactive compounds for nutrition, health and disease", "type" : "article-journal", "volume" : "19" }, "uris" : [ "http://www.mendeley.com/documents/?uuid=4f415b30-95a8-4a6f-b098-a424dc5fee0d" ] } ], "mendeley" : { "formattedCitation" : "(El-Mostafa et al., 2014)", "manualFormatting" : "El-Mostafa et al. (2014)", "plainTextFormattedCitation" : "(El-Mostafa et al., 2014)", "previouslyFormattedCitation" : "(El-Mostafa et al., 2014)" }, "properties" : { "noteIndex" : 0 }, "schema" : "https://github.com/citation-style-language/schema/raw/master/csl-citation.json" }</w:instrText>
      </w:r>
      <w:r w:rsidRPr="007F723B">
        <w:rPr>
          <w:rFonts w:eastAsiaTheme="minorHAnsi"/>
          <w:color w:val="auto"/>
          <w:lang w:eastAsia="en-US"/>
        </w:rPr>
        <w:fldChar w:fldCharType="separate"/>
      </w:r>
      <w:r w:rsidRPr="007F723B">
        <w:rPr>
          <w:rFonts w:eastAsiaTheme="minorHAnsi"/>
          <w:noProof/>
          <w:color w:val="auto"/>
          <w:lang w:eastAsia="en-US"/>
        </w:rPr>
        <w:t>El-Mostafa et al. (2014)</w:t>
      </w:r>
      <w:r w:rsidRPr="007F723B">
        <w:rPr>
          <w:rFonts w:eastAsiaTheme="minorHAnsi"/>
          <w:color w:val="auto"/>
          <w:lang w:eastAsia="en-US"/>
        </w:rPr>
        <w:fldChar w:fldCharType="end"/>
      </w:r>
      <w:r w:rsidR="001C09FA">
        <w:rPr>
          <w:rFonts w:eastAsiaTheme="minorHAnsi"/>
          <w:color w:val="auto"/>
          <w:lang w:eastAsia="en-US"/>
        </w:rPr>
        <w:t xml:space="preserve">, que </w:t>
      </w:r>
      <w:r w:rsidR="00DA79C5">
        <w:rPr>
          <w:rFonts w:eastAsiaTheme="minorHAnsi"/>
          <w:color w:val="auto"/>
          <w:lang w:eastAsia="en-US"/>
        </w:rPr>
        <w:t>refere valores de 9</w:t>
      </w:r>
      <w:r w:rsidR="00F23D4C">
        <w:rPr>
          <w:rFonts w:eastAsiaTheme="minorHAnsi"/>
          <w:color w:val="auto"/>
          <w:lang w:eastAsia="en-US"/>
        </w:rPr>
        <w:t xml:space="preserve"> </w:t>
      </w:r>
      <w:r w:rsidR="00DA79C5">
        <w:rPr>
          <w:rFonts w:eastAsiaTheme="minorHAnsi"/>
          <w:color w:val="auto"/>
          <w:lang w:eastAsia="en-US"/>
        </w:rPr>
        <w:t>mg de flavonóides/100g d</w:t>
      </w:r>
      <w:r w:rsidR="001C09FA">
        <w:rPr>
          <w:rFonts w:eastAsiaTheme="minorHAnsi"/>
          <w:color w:val="auto"/>
          <w:lang w:eastAsia="en-US"/>
        </w:rPr>
        <w:t>a polpa do figo da índia</w:t>
      </w:r>
      <w:r w:rsidR="00DA79C5">
        <w:rPr>
          <w:rFonts w:eastAsiaTheme="minorHAnsi"/>
          <w:color w:val="auto"/>
          <w:lang w:eastAsia="en-US"/>
        </w:rPr>
        <w:t>.</w:t>
      </w:r>
    </w:p>
    <w:p w14:paraId="4EF48F92" w14:textId="77777777" w:rsidR="007F723B" w:rsidRDefault="007F723B" w:rsidP="007F723B">
      <w:pPr>
        <w:spacing w:after="160" w:line="360" w:lineRule="auto"/>
        <w:ind w:left="0" w:right="0" w:firstLine="0"/>
      </w:pPr>
      <w:r w:rsidRPr="007F723B">
        <w:t>Não são apresentadas diferenças significativas entre a casca e a polpa tendo um p&gt; 0.05 segundo a analise efetuada pela ANOVA.</w:t>
      </w:r>
    </w:p>
    <w:p w14:paraId="1734A86A" w14:textId="5F7B9760" w:rsidR="007F723B" w:rsidRDefault="00315BA2" w:rsidP="00F20BAE">
      <w:pPr>
        <w:keepNext/>
        <w:spacing w:after="160" w:line="360" w:lineRule="auto"/>
        <w:ind w:left="0" w:right="0" w:firstLine="0"/>
        <w:jc w:val="center"/>
      </w:pPr>
      <w:r>
        <w:rPr>
          <w:noProof/>
        </w:rPr>
        <w:drawing>
          <wp:inline distT="0" distB="0" distL="0" distR="0" wp14:anchorId="236B1CBC" wp14:editId="7C30F4FC">
            <wp:extent cx="4572000" cy="2743200"/>
            <wp:effectExtent l="0" t="0" r="0" b="0"/>
            <wp:docPr id="7" name="Gráfico 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8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A2D9750" w14:textId="35F18DC6" w:rsidR="007F723B" w:rsidRPr="006C2067" w:rsidRDefault="007F723B" w:rsidP="00F20BAE">
      <w:pPr>
        <w:pStyle w:val="Legenda"/>
        <w:ind w:right="-1"/>
        <w:rPr>
          <w:rFonts w:eastAsiaTheme="minorHAnsi"/>
          <w:i w:val="0"/>
          <w:color w:val="auto"/>
          <w:lang w:eastAsia="en-US"/>
        </w:rPr>
      </w:pPr>
      <w:bookmarkStart w:id="316" w:name="_Toc479333899"/>
      <w:r>
        <w:t xml:space="preserve">Figura </w:t>
      </w:r>
      <w:r w:rsidR="00805B44">
        <w:fldChar w:fldCharType="begin"/>
      </w:r>
      <w:r w:rsidR="00805B44">
        <w:instrText xml:space="preserve"> SEQ Figura \* ARABIC </w:instrText>
      </w:r>
      <w:r w:rsidR="00805B44">
        <w:fldChar w:fldCharType="separate"/>
      </w:r>
      <w:r w:rsidR="005F28B4">
        <w:rPr>
          <w:noProof/>
        </w:rPr>
        <w:t>24</w:t>
      </w:r>
      <w:r w:rsidR="00805B44">
        <w:rPr>
          <w:noProof/>
        </w:rPr>
        <w:fldChar w:fldCharType="end"/>
      </w:r>
      <w:r>
        <w:t xml:space="preserve">- </w:t>
      </w:r>
      <w:r w:rsidRPr="006C2067">
        <w:rPr>
          <w:i w:val="0"/>
          <w:color w:val="auto"/>
        </w:rPr>
        <w:t xml:space="preserve">Teor de flavonoides </w:t>
      </w:r>
      <w:r w:rsidRPr="006C2067">
        <w:rPr>
          <w:i w:val="0"/>
          <w:color w:val="auto"/>
          <w:sz w:val="20"/>
          <w:szCs w:val="20"/>
        </w:rPr>
        <w:t>dos frutos de quatro diferentes ecótipos/cultivares do figo-da-índia (‘laranja’, ‘verde’, ‘Rosso’ e ‘Gialla’). Os val</w:t>
      </w:r>
      <w:r w:rsidR="00901BBD">
        <w:rPr>
          <w:i w:val="0"/>
          <w:color w:val="auto"/>
          <w:sz w:val="20"/>
          <w:szCs w:val="20"/>
        </w:rPr>
        <w:t>ores representam uma média de 3</w:t>
      </w:r>
      <w:r w:rsidRPr="006C2067">
        <w:rPr>
          <w:i w:val="0"/>
          <w:color w:val="auto"/>
          <w:sz w:val="20"/>
          <w:szCs w:val="20"/>
        </w:rPr>
        <w:t xml:space="preserve"> amostras por cultivar. As barras referentes à parte da casca com a mesma letra maiúscula e barras referentes à parte da polpa com a mesma letra minúscula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 xml:space="preserve">05). As duas barras com NS, * ou *** no topo não são significativamente diferentes ou são significativamente diferentes para </w:t>
      </w:r>
      <w:proofErr w:type="gramStart"/>
      <w:r w:rsidRPr="006C2067">
        <w:rPr>
          <w:i w:val="0"/>
          <w:color w:val="auto"/>
          <w:sz w:val="20"/>
          <w:szCs w:val="20"/>
        </w:rPr>
        <w:t>P&lt;0.</w:t>
      </w:r>
      <w:proofErr w:type="gramEnd"/>
      <w:r w:rsidRPr="006C2067">
        <w:rPr>
          <w:i w:val="0"/>
          <w:color w:val="auto"/>
          <w:sz w:val="20"/>
          <w:szCs w:val="20"/>
        </w:rPr>
        <w:t>05 ou P &lt;0.01</w:t>
      </w:r>
      <w:bookmarkEnd w:id="316"/>
    </w:p>
    <w:p w14:paraId="2212C9BB" w14:textId="61224F18" w:rsidR="007F723B" w:rsidRDefault="007F723B" w:rsidP="007F723B"/>
    <w:p w14:paraId="7C413EBB" w14:textId="6E34810C" w:rsidR="004F47F5" w:rsidRDefault="004F47F5" w:rsidP="007F723B"/>
    <w:p w14:paraId="6F47A690" w14:textId="3BEB368F" w:rsidR="004F47F5" w:rsidRDefault="004F47F5" w:rsidP="007F723B"/>
    <w:p w14:paraId="4998F333" w14:textId="77777777" w:rsidR="004F47F5" w:rsidRDefault="004F47F5" w:rsidP="007F723B"/>
    <w:p w14:paraId="45D1D377" w14:textId="77777777" w:rsidR="007F723B" w:rsidRDefault="007F723B" w:rsidP="006C2067">
      <w:pPr>
        <w:pStyle w:val="Cabealho3"/>
        <w:rPr>
          <w:rFonts w:ascii="Times New Roman" w:eastAsiaTheme="minorHAnsi" w:hAnsi="Times New Roman" w:cs="Times New Roman"/>
          <w:color w:val="auto"/>
          <w:lang w:eastAsia="en-US"/>
        </w:rPr>
      </w:pPr>
      <w:bookmarkStart w:id="317" w:name="_Toc479154873"/>
      <w:r w:rsidRPr="006C2067">
        <w:rPr>
          <w:rFonts w:ascii="Times New Roman" w:eastAsiaTheme="minorHAnsi" w:hAnsi="Times New Roman" w:cs="Times New Roman"/>
          <w:color w:val="auto"/>
          <w:lang w:eastAsia="en-US"/>
        </w:rPr>
        <w:lastRenderedPageBreak/>
        <w:t>3.1.4 Betalaínas</w:t>
      </w:r>
      <w:bookmarkEnd w:id="317"/>
    </w:p>
    <w:p w14:paraId="4BC77C57" w14:textId="77777777" w:rsidR="0008168B" w:rsidRPr="0063100E" w:rsidRDefault="0008168B" w:rsidP="0063100E">
      <w:pPr>
        <w:rPr>
          <w:rFonts w:eastAsiaTheme="minorHAnsi"/>
          <w:lang w:eastAsia="en-US"/>
        </w:rPr>
      </w:pPr>
    </w:p>
    <w:p w14:paraId="1DAA4F7A" w14:textId="1C3C96F8" w:rsidR="007F723B" w:rsidRPr="006C2067" w:rsidRDefault="007F723B" w:rsidP="007F723B">
      <w:pPr>
        <w:spacing w:after="160" w:line="360" w:lineRule="auto"/>
        <w:ind w:left="0" w:right="0" w:firstLine="0"/>
        <w:rPr>
          <w:rFonts w:eastAsiaTheme="minorHAnsi"/>
          <w:color w:val="auto"/>
          <w:szCs w:val="24"/>
          <w:lang w:eastAsia="en-US"/>
        </w:rPr>
      </w:pPr>
      <w:r w:rsidRPr="006C2067">
        <w:rPr>
          <w:rFonts w:eastAsiaTheme="minorHAnsi"/>
          <w:color w:val="auto"/>
          <w:szCs w:val="24"/>
          <w:lang w:eastAsia="en-US"/>
        </w:rPr>
        <w:t xml:space="preserve">As betalaínas são responsáveis pela coloração de alguns frutos. Estas podem dividir-se em dois grupos: betacianinas que conferem a cor vermelha, violeta ou púrpura, e em betaxantinas que conferem uma cor amarelada ou laranja </w:t>
      </w:r>
      <w:r w:rsidRPr="006C2067">
        <w:rPr>
          <w:rFonts w:eastAsiaTheme="minorHAnsi"/>
          <w:color w:val="auto"/>
          <w:szCs w:val="24"/>
          <w:lang w:eastAsia="en-US"/>
        </w:rPr>
        <w:fldChar w:fldCharType="begin" w:fldLock="1"/>
      </w:r>
      <w:r w:rsidR="009A0846">
        <w:rPr>
          <w:rFonts w:eastAsiaTheme="minorHAnsi"/>
          <w:color w:val="auto"/>
          <w:szCs w:val="24"/>
          <w:lang w:eastAsia="en-US"/>
        </w:rPr>
        <w:instrText>ADDIN CSL_CITATION { "citationItems" : [ { "id" : "ITEM-1", "itemData" : { "URL" : "http://www.agronegocios.eu/noticias/a-figueira-da-india/", "accessed" : { "date-parts" : [ [ "2016", "1", "25" ] ] }, "author" : [ { "dropping-particle" : "", "family" : "Alves", "given" : "Jos\u00e9 Carlos Ramalhinho", "non-dropping-particle" : "", "parse-names" : false, "suffix" : "" }, { "dropping-particle" : "", "family" : "Mota", "given" : "Mariana Oliveira", "non-dropping-particle" : "", "parse-names" : false, "suffix" : "" }, { "dropping-particle" : "", "family" : "M.", "given" : "Cristina", "non-dropping-particle" : "", "parse-names" : false, "suffix" : "" } ], "container-title" : "AgroNeg\u00f3cios.eu", "id" : "ITEM-1", "issued" : { "date-parts" : [ [ "2014" ] ] }, "title" : "A figueira-da-\u00edndia", "type" : "webpage" }, "uris" : [ "http://www.mendeley.com/documents/?uuid=4b806a42-4b12-44cb-bb2a-4929ade5d4eb" ] }, { "id" : "ITEM-2", "itemData" : { "author" : [ { "dropping-particle" : "", "family" : "Ros\u00e1rio", "given" : "Liane", "non-dropping-particle" : "", "parse-names" : false, "suffix" : "" }, { "dropping-particle" : "", "family" : "Serrano", "given" : "Carmo", "non-dropping-particle" : "", "parse-names" : false, "suffix" : "" }, { "dropping-particle" : "", "family" : "Mold\u00e3o", "given" : "Margarida", "non-dropping-particle" : "", "parse-names" : false, "suffix" : "" }, { "dropping-particle" : "", "family" : "Esteves", "given" : "Paula", "non-dropping-particle" : "", "parse-names" : false, "suffix" : "" } ], "id" : "ITEM-2", "issued" : { "date-parts" : [ [ "0" ] ] }, "number-of-pages" : "102", "publisher-place" : "Lisboa", "title" : "Extrac\u00e7\u00e3o e termo-estabilidade do corante natural obtido a partir de Figo-da-\u00cdndia ( Opuntia stricta )", "type" : "report" }, "uris" : [ "http://www.mendeley.com/documents/?uuid=fa8a7f4d-76fe-495e-9ebf-4ea1502f2f75" ] } ], "mendeley" : { "formattedCitation" : "(J. C. R. Alves et al., 2014; Ros\u00e1rio, Serrano, Mold\u00e3o, &amp; Esteves, n.d.)", "manualFormatting" : "( Alves et al., 2014; Ros\u00e1rio et al., n.d.)", "plainTextFormattedCitation" : "(J. C. R. Alves et al., 2014; Ros\u00e1rio, Serrano, Mold\u00e3o, &amp; Esteves, n.d.)", "previouslyFormattedCitation" : "(J. C. R. Alves et al., 2014; Ros\u00e1rio, Serrano, Mold\u00e3o, &amp; Esteves, n.d.)" }, "properties" : { "noteIndex" : 0 }, "schema" : "https://github.com/citation-style-language/schema/raw/master/csl-citation.json" }</w:instrText>
      </w:r>
      <w:r w:rsidRPr="006C2067">
        <w:rPr>
          <w:rFonts w:eastAsiaTheme="minorHAnsi"/>
          <w:color w:val="auto"/>
          <w:szCs w:val="24"/>
          <w:lang w:eastAsia="en-US"/>
        </w:rPr>
        <w:fldChar w:fldCharType="separate"/>
      </w:r>
      <w:r w:rsidR="008F538C" w:rsidRPr="008F538C">
        <w:rPr>
          <w:rFonts w:eastAsiaTheme="minorHAnsi"/>
          <w:noProof/>
          <w:color w:val="auto"/>
          <w:szCs w:val="24"/>
          <w:lang w:eastAsia="en-US"/>
        </w:rPr>
        <w:t>( Alves et al., 2014; Ros</w:t>
      </w:r>
      <w:r w:rsidR="008F538C">
        <w:rPr>
          <w:rFonts w:eastAsiaTheme="minorHAnsi"/>
          <w:noProof/>
          <w:color w:val="auto"/>
          <w:szCs w:val="24"/>
          <w:lang w:eastAsia="en-US"/>
        </w:rPr>
        <w:t>ário et al.</w:t>
      </w:r>
      <w:r w:rsidR="008F538C" w:rsidRPr="008F538C">
        <w:rPr>
          <w:rFonts w:eastAsiaTheme="minorHAnsi"/>
          <w:noProof/>
          <w:color w:val="auto"/>
          <w:szCs w:val="24"/>
          <w:lang w:eastAsia="en-US"/>
        </w:rPr>
        <w:t>, n.d.)</w:t>
      </w:r>
      <w:r w:rsidRPr="006C2067">
        <w:rPr>
          <w:rFonts w:eastAsiaTheme="minorHAnsi"/>
          <w:color w:val="auto"/>
          <w:szCs w:val="24"/>
          <w:lang w:eastAsia="en-US"/>
        </w:rPr>
        <w:fldChar w:fldCharType="end"/>
      </w:r>
      <w:r w:rsidRPr="006C2067">
        <w:rPr>
          <w:rFonts w:eastAsiaTheme="minorHAnsi"/>
          <w:color w:val="auto"/>
          <w:szCs w:val="24"/>
          <w:lang w:eastAsia="en-US"/>
        </w:rPr>
        <w:t>.</w:t>
      </w:r>
    </w:p>
    <w:p w14:paraId="29B7CD98" w14:textId="36735B9F" w:rsidR="007F723B" w:rsidRPr="006C2067" w:rsidRDefault="004C183F" w:rsidP="007F723B">
      <w:pPr>
        <w:spacing w:after="160" w:line="360" w:lineRule="auto"/>
        <w:ind w:left="0" w:right="0" w:firstLine="0"/>
        <w:rPr>
          <w:rFonts w:eastAsiaTheme="minorHAnsi"/>
          <w:color w:val="auto"/>
          <w:szCs w:val="24"/>
          <w:lang w:eastAsia="en-US"/>
        </w:rPr>
      </w:pPr>
      <w:r>
        <w:rPr>
          <w:rFonts w:eastAsiaTheme="minorHAnsi"/>
          <w:color w:val="auto"/>
          <w:szCs w:val="24"/>
          <w:lang w:eastAsia="en-US"/>
        </w:rPr>
        <w:t>Analisando a Fi</w:t>
      </w:r>
      <w:r w:rsidR="007F723B" w:rsidRPr="006C2067">
        <w:rPr>
          <w:rFonts w:eastAsiaTheme="minorHAnsi"/>
          <w:color w:val="auto"/>
          <w:szCs w:val="24"/>
          <w:lang w:eastAsia="en-US"/>
        </w:rPr>
        <w:t>gura 25 relativo ao teor em betac</w:t>
      </w:r>
      <w:r w:rsidR="00E0270A">
        <w:rPr>
          <w:rFonts w:eastAsiaTheme="minorHAnsi"/>
          <w:color w:val="auto"/>
          <w:szCs w:val="24"/>
          <w:lang w:eastAsia="en-US"/>
        </w:rPr>
        <w:t>ianinas, verificou-se que exist</w:t>
      </w:r>
      <w:r w:rsidR="007F723B" w:rsidRPr="006C2067">
        <w:rPr>
          <w:rFonts w:eastAsiaTheme="minorHAnsi"/>
          <w:color w:val="auto"/>
          <w:szCs w:val="24"/>
          <w:lang w:eastAsia="en-US"/>
        </w:rPr>
        <w:t>em diferenças significativas (</w:t>
      </w:r>
      <w:proofErr w:type="gramStart"/>
      <w:r w:rsidR="007F723B" w:rsidRPr="006C2067">
        <w:rPr>
          <w:rFonts w:eastAsiaTheme="minorHAnsi"/>
          <w:color w:val="auto"/>
          <w:szCs w:val="24"/>
          <w:lang w:eastAsia="en-US"/>
        </w:rPr>
        <w:t>p&gt;0.</w:t>
      </w:r>
      <w:proofErr w:type="gramEnd"/>
      <w:r w:rsidR="007F723B" w:rsidRPr="006C2067">
        <w:rPr>
          <w:rFonts w:eastAsiaTheme="minorHAnsi"/>
          <w:color w:val="auto"/>
          <w:szCs w:val="24"/>
          <w:lang w:eastAsia="en-US"/>
        </w:rPr>
        <w:t>05) entre os teores da casca e da polpa.</w:t>
      </w:r>
    </w:p>
    <w:p w14:paraId="0B5704A2" w14:textId="77777777" w:rsidR="007F723B" w:rsidRPr="006C2067" w:rsidRDefault="007F723B" w:rsidP="007F723B">
      <w:pPr>
        <w:spacing w:after="160" w:line="360" w:lineRule="auto"/>
        <w:ind w:left="0" w:right="0" w:firstLine="0"/>
        <w:rPr>
          <w:rFonts w:eastAsiaTheme="minorHAnsi"/>
          <w:color w:val="auto"/>
          <w:szCs w:val="24"/>
          <w:lang w:eastAsia="en-US"/>
        </w:rPr>
      </w:pPr>
      <w:r w:rsidRPr="006C2067">
        <w:rPr>
          <w:rFonts w:eastAsiaTheme="minorHAnsi"/>
          <w:color w:val="auto"/>
          <w:szCs w:val="24"/>
          <w:lang w:eastAsia="en-US"/>
        </w:rPr>
        <w:t>Na casca, a cultivar ‘Rosso’ apresentou maio</w:t>
      </w:r>
      <w:r w:rsidR="00E0270A">
        <w:rPr>
          <w:rFonts w:eastAsiaTheme="minorHAnsi"/>
          <w:color w:val="auto"/>
          <w:szCs w:val="24"/>
          <w:lang w:eastAsia="en-US"/>
        </w:rPr>
        <w:t>r teor de betacianinas (3.14 ± 0.60</w:t>
      </w:r>
      <w:r w:rsidRPr="006C2067">
        <w:rPr>
          <w:rFonts w:eastAsiaTheme="minorHAnsi"/>
          <w:color w:val="auto"/>
          <w:szCs w:val="24"/>
          <w:lang w:eastAsia="en-US"/>
        </w:rPr>
        <w:t xml:space="preserve"> mg/g), tiveram valores significativamente menores a cultiva</w:t>
      </w:r>
      <w:r w:rsidR="00E0270A">
        <w:rPr>
          <w:rFonts w:eastAsiaTheme="minorHAnsi"/>
          <w:color w:val="auto"/>
          <w:szCs w:val="24"/>
          <w:lang w:eastAsia="en-US"/>
        </w:rPr>
        <w:t>r ‘Gialla’ (1.06 ± 0.16</w:t>
      </w:r>
      <w:r w:rsidRPr="006C2067">
        <w:rPr>
          <w:rFonts w:eastAsiaTheme="minorHAnsi"/>
          <w:color w:val="auto"/>
          <w:szCs w:val="24"/>
          <w:lang w:eastAsia="en-US"/>
        </w:rPr>
        <w:t xml:space="preserve"> mg/g)</w:t>
      </w:r>
      <w:r w:rsidR="00E0270A">
        <w:rPr>
          <w:rFonts w:eastAsiaTheme="minorHAnsi"/>
          <w:color w:val="auto"/>
          <w:szCs w:val="24"/>
          <w:lang w:eastAsia="en-US"/>
        </w:rPr>
        <w:t xml:space="preserve"> e o ecótipo ‘laranja’ (0.84 ± 0.19</w:t>
      </w:r>
      <w:r w:rsidRPr="006C2067">
        <w:rPr>
          <w:rFonts w:eastAsiaTheme="minorHAnsi"/>
          <w:color w:val="auto"/>
          <w:szCs w:val="24"/>
          <w:lang w:eastAsia="en-US"/>
        </w:rPr>
        <w:t xml:space="preserve"> mg/g), o teor mais baixo foi apresentad</w:t>
      </w:r>
      <w:r w:rsidR="00E0270A">
        <w:rPr>
          <w:rFonts w:eastAsiaTheme="minorHAnsi"/>
          <w:color w:val="auto"/>
          <w:szCs w:val="24"/>
          <w:lang w:eastAsia="en-US"/>
        </w:rPr>
        <w:t>o pelo ecótipo ‘verde’ (0.37 ± 0.11</w:t>
      </w:r>
      <w:r w:rsidRPr="006C2067">
        <w:rPr>
          <w:rFonts w:eastAsiaTheme="minorHAnsi"/>
          <w:color w:val="auto"/>
          <w:szCs w:val="24"/>
          <w:lang w:eastAsia="en-US"/>
        </w:rPr>
        <w:t xml:space="preserve"> mg/g) que se distinguiu significativamente das cultivares ‘Rosso’ e ‘Gialla’. </w:t>
      </w:r>
    </w:p>
    <w:p w14:paraId="2459681C" w14:textId="3E21812B" w:rsidR="007F723B" w:rsidRPr="006C2067" w:rsidRDefault="007F723B" w:rsidP="007F723B">
      <w:pPr>
        <w:spacing w:after="160" w:line="360" w:lineRule="auto"/>
        <w:ind w:left="0" w:right="0" w:firstLine="0"/>
        <w:rPr>
          <w:rFonts w:eastAsiaTheme="minorHAnsi"/>
          <w:color w:val="auto"/>
          <w:szCs w:val="24"/>
          <w:lang w:eastAsia="en-US"/>
        </w:rPr>
      </w:pPr>
      <w:r w:rsidRPr="006C2067">
        <w:rPr>
          <w:rFonts w:eastAsiaTheme="minorHAnsi"/>
          <w:color w:val="auto"/>
          <w:szCs w:val="24"/>
          <w:lang w:eastAsia="en-US"/>
        </w:rPr>
        <w:t>A polpa também apresentou maior quantidade de betacianin</w:t>
      </w:r>
      <w:r w:rsidR="00E0270A">
        <w:rPr>
          <w:rFonts w:eastAsiaTheme="minorHAnsi"/>
          <w:color w:val="auto"/>
          <w:szCs w:val="24"/>
          <w:lang w:eastAsia="en-US"/>
        </w:rPr>
        <w:t>as na cultivar ‘Rosso’ (2.03 ± 0.51</w:t>
      </w:r>
      <w:r w:rsidRPr="006C2067">
        <w:rPr>
          <w:rFonts w:eastAsiaTheme="minorHAnsi"/>
          <w:color w:val="auto"/>
          <w:szCs w:val="24"/>
          <w:lang w:eastAsia="en-US"/>
        </w:rPr>
        <w:t xml:space="preserve"> mg/g) com um valor significativamente superior a todas as outras cultivares</w:t>
      </w:r>
      <w:r w:rsidR="009C1BE2">
        <w:rPr>
          <w:rFonts w:eastAsiaTheme="minorHAnsi"/>
          <w:color w:val="auto"/>
          <w:szCs w:val="24"/>
          <w:lang w:eastAsia="en-US"/>
        </w:rPr>
        <w:t xml:space="preserve"> e com resultados superiores</w:t>
      </w:r>
      <w:r w:rsidR="00DA79C5">
        <w:rPr>
          <w:rFonts w:eastAsiaTheme="minorHAnsi"/>
          <w:color w:val="auto"/>
          <w:szCs w:val="24"/>
          <w:lang w:eastAsia="en-US"/>
        </w:rPr>
        <w:t xml:space="preserve"> aos</w:t>
      </w:r>
      <w:r w:rsidR="009C1BE2">
        <w:rPr>
          <w:rFonts w:eastAsiaTheme="minorHAnsi"/>
          <w:color w:val="auto"/>
          <w:szCs w:val="24"/>
          <w:lang w:eastAsia="en-US"/>
        </w:rPr>
        <w:t xml:space="preserve"> </w:t>
      </w:r>
      <w:r w:rsidR="00BA1BAF">
        <w:rPr>
          <w:rFonts w:eastAsiaTheme="minorHAnsi"/>
          <w:color w:val="auto"/>
          <w:szCs w:val="24"/>
          <w:lang w:eastAsia="en-US"/>
        </w:rPr>
        <w:t>1.06 ±0.03 mg/g descritos por</w:t>
      </w:r>
      <w:r w:rsidR="009C1BE2">
        <w:rPr>
          <w:rFonts w:eastAsiaTheme="minorHAnsi"/>
          <w:color w:val="auto"/>
          <w:szCs w:val="24"/>
          <w:lang w:eastAsia="en-US"/>
        </w:rPr>
        <w:t xml:space="preserve"> </w:t>
      </w:r>
      <w:r w:rsidR="009C1BE2">
        <w:rPr>
          <w:rFonts w:eastAsiaTheme="minorHAnsi"/>
          <w:color w:val="auto"/>
          <w:szCs w:val="24"/>
          <w:lang w:eastAsia="en-US"/>
        </w:rPr>
        <w:fldChar w:fldCharType="begin" w:fldLock="1"/>
      </w:r>
      <w:r w:rsidR="00BD1ECB">
        <w:rPr>
          <w:rFonts w:eastAsiaTheme="minorHAnsi"/>
          <w:color w:val="auto"/>
          <w:szCs w:val="24"/>
          <w:lang w:eastAsia="en-US"/>
        </w:rPr>
        <w:instrText>ADDIN CSL_CITATION { "citationItems" : [ { "id" : "ITEM-1", "itemData" : { "author" : [ { "dropping-particle" : "", "family" : "Miranda", "given" : "Sofia Alexandra Duate", "non-dropping-particle" : "", "parse-names" : false, "suffix" : "" } ], "id" : "ITEM-1", "issued" : { "date-parts" : [ [ "2014" ] ] }, "number-of-pages" : "1-37", "publisher" : "Universidade de Atl\u00e2ntica", "title" : "Caracteriza\u00e7\u00e3o nutricional e funcional de tr\u00eas variedades portuguesas de figo de piteira", "type" : "thesis" }, "uris" : [ "http://www.mendeley.com/documents/?uuid=10dfe05a-d8de-4fb8-a1e9-b6cb2323ea16" ] } ], "mendeley" : { "formattedCitation" : "(Miranda, 2014)", "manualFormatting" : "Miranda, (2014)", "plainTextFormattedCitation" : "(Miranda, 2014)", "previouslyFormattedCitation" : "(Miranda, 2014)" }, "properties" : { "noteIndex" : 0 }, "schema" : "https://github.com/citation-style-language/schema/raw/master/csl-citation.json" }</w:instrText>
      </w:r>
      <w:r w:rsidR="009C1BE2">
        <w:rPr>
          <w:rFonts w:eastAsiaTheme="minorHAnsi"/>
          <w:color w:val="auto"/>
          <w:szCs w:val="24"/>
          <w:lang w:eastAsia="en-US"/>
        </w:rPr>
        <w:fldChar w:fldCharType="separate"/>
      </w:r>
      <w:r w:rsidR="009C1BE2" w:rsidRPr="009C1BE2">
        <w:rPr>
          <w:rFonts w:eastAsiaTheme="minorHAnsi"/>
          <w:noProof/>
          <w:color w:val="auto"/>
          <w:szCs w:val="24"/>
          <w:lang w:eastAsia="en-US"/>
        </w:rPr>
        <w:t xml:space="preserve">Miranda, </w:t>
      </w:r>
      <w:r w:rsidR="009C1BE2">
        <w:rPr>
          <w:rFonts w:eastAsiaTheme="minorHAnsi"/>
          <w:noProof/>
          <w:color w:val="auto"/>
          <w:szCs w:val="24"/>
          <w:lang w:eastAsia="en-US"/>
        </w:rPr>
        <w:t>(</w:t>
      </w:r>
      <w:r w:rsidR="009C1BE2" w:rsidRPr="009C1BE2">
        <w:rPr>
          <w:rFonts w:eastAsiaTheme="minorHAnsi"/>
          <w:noProof/>
          <w:color w:val="auto"/>
          <w:szCs w:val="24"/>
          <w:lang w:eastAsia="en-US"/>
        </w:rPr>
        <w:t>2014)</w:t>
      </w:r>
      <w:r w:rsidR="009C1BE2">
        <w:rPr>
          <w:rFonts w:eastAsiaTheme="minorHAnsi"/>
          <w:color w:val="auto"/>
          <w:szCs w:val="24"/>
          <w:lang w:eastAsia="en-US"/>
        </w:rPr>
        <w:fldChar w:fldCharType="end"/>
      </w:r>
      <w:r w:rsidRPr="006C2067">
        <w:rPr>
          <w:rFonts w:eastAsiaTheme="minorHAnsi"/>
          <w:color w:val="auto"/>
          <w:szCs w:val="24"/>
          <w:lang w:eastAsia="en-US"/>
        </w:rPr>
        <w:t>. Seguiram-</w:t>
      </w:r>
      <w:r w:rsidR="00E0270A">
        <w:rPr>
          <w:rFonts w:eastAsiaTheme="minorHAnsi"/>
          <w:color w:val="auto"/>
          <w:szCs w:val="24"/>
          <w:lang w:eastAsia="en-US"/>
        </w:rPr>
        <w:t>se a cultivar ‘Gialla’ (0.62 ± 0.14</w:t>
      </w:r>
      <w:r w:rsidRPr="006C2067">
        <w:rPr>
          <w:rFonts w:eastAsiaTheme="minorHAnsi"/>
          <w:color w:val="auto"/>
          <w:szCs w:val="24"/>
          <w:lang w:eastAsia="en-US"/>
        </w:rPr>
        <w:t xml:space="preserve"> mg/g), o ecótipo ‘laranja’ (0.43</w:t>
      </w:r>
      <w:r w:rsidR="00E0270A">
        <w:rPr>
          <w:rFonts w:eastAsiaTheme="minorHAnsi"/>
          <w:color w:val="auto"/>
          <w:szCs w:val="24"/>
          <w:lang w:eastAsia="en-US"/>
        </w:rPr>
        <w:t xml:space="preserve"> ± 0.09</w:t>
      </w:r>
      <w:r w:rsidRPr="006C2067">
        <w:rPr>
          <w:rFonts w:eastAsiaTheme="minorHAnsi"/>
          <w:color w:val="auto"/>
          <w:szCs w:val="24"/>
          <w:lang w:eastAsia="en-US"/>
        </w:rPr>
        <w:t xml:space="preserve"> mg/g) </w:t>
      </w:r>
      <w:r w:rsidR="00DA79C5">
        <w:rPr>
          <w:rFonts w:eastAsiaTheme="minorHAnsi"/>
          <w:color w:val="auto"/>
          <w:szCs w:val="24"/>
          <w:lang w:eastAsia="en-US"/>
        </w:rPr>
        <w:t>com valores</w:t>
      </w:r>
      <w:r w:rsidR="007B13B3">
        <w:rPr>
          <w:rFonts w:eastAsiaTheme="minorHAnsi"/>
          <w:color w:val="auto"/>
          <w:szCs w:val="24"/>
          <w:lang w:eastAsia="en-US"/>
        </w:rPr>
        <w:t xml:space="preserve"> </w:t>
      </w:r>
      <w:r w:rsidR="00E94415">
        <w:rPr>
          <w:rFonts w:eastAsiaTheme="minorHAnsi"/>
          <w:color w:val="auto"/>
          <w:szCs w:val="24"/>
          <w:lang w:eastAsia="en-US"/>
        </w:rPr>
        <w:t>superior</w:t>
      </w:r>
      <w:r w:rsidR="00DA79C5">
        <w:rPr>
          <w:rFonts w:eastAsiaTheme="minorHAnsi"/>
          <w:color w:val="auto"/>
          <w:szCs w:val="24"/>
          <w:lang w:eastAsia="en-US"/>
        </w:rPr>
        <w:t>es</w:t>
      </w:r>
      <w:r w:rsidR="00E94415">
        <w:rPr>
          <w:rFonts w:eastAsiaTheme="minorHAnsi"/>
          <w:color w:val="auto"/>
          <w:szCs w:val="24"/>
          <w:lang w:eastAsia="en-US"/>
        </w:rPr>
        <w:t xml:space="preserve"> a</w:t>
      </w:r>
      <w:r w:rsidR="00BA1BAF">
        <w:rPr>
          <w:rFonts w:eastAsiaTheme="minorHAnsi"/>
          <w:color w:val="auto"/>
          <w:szCs w:val="24"/>
          <w:lang w:eastAsia="en-US"/>
        </w:rPr>
        <w:t xml:space="preserve"> 0.05 ± 0.0006 mg/g</w:t>
      </w:r>
      <w:r w:rsidR="007B13B3">
        <w:rPr>
          <w:rFonts w:eastAsiaTheme="minorHAnsi"/>
          <w:color w:val="auto"/>
          <w:szCs w:val="24"/>
          <w:lang w:eastAsia="en-US"/>
        </w:rPr>
        <w:t xml:space="preserve"> </w:t>
      </w:r>
      <w:r w:rsidR="00E94415">
        <w:rPr>
          <w:rFonts w:eastAsiaTheme="minorHAnsi"/>
          <w:color w:val="auto"/>
          <w:szCs w:val="24"/>
          <w:lang w:eastAsia="en-US"/>
        </w:rPr>
        <w:t>referido por</w:t>
      </w:r>
      <w:r w:rsidR="007B13B3">
        <w:rPr>
          <w:rFonts w:eastAsiaTheme="minorHAnsi"/>
          <w:color w:val="auto"/>
          <w:szCs w:val="24"/>
          <w:lang w:eastAsia="en-US"/>
        </w:rPr>
        <w:t xml:space="preserve"> </w:t>
      </w:r>
      <w:r w:rsidR="007B13B3">
        <w:rPr>
          <w:rFonts w:eastAsiaTheme="minorHAnsi"/>
          <w:color w:val="auto"/>
          <w:szCs w:val="24"/>
          <w:lang w:eastAsia="en-US"/>
        </w:rPr>
        <w:fldChar w:fldCharType="begin" w:fldLock="1"/>
      </w:r>
      <w:r w:rsidR="00676F1F">
        <w:rPr>
          <w:rFonts w:eastAsiaTheme="minorHAnsi"/>
          <w:color w:val="auto"/>
          <w:szCs w:val="24"/>
          <w:lang w:eastAsia="en-US"/>
        </w:rPr>
        <w:instrText>ADDIN CSL_CITATION { "citationItems" : [ { "id" : "ITEM-1", "itemData" : { "author" : [ { "dropping-particle" : "", "family" : "Souza", "given" : "Rosane Li\u00e9ge Alves", "non-dropping-particle" : "", "parse-names" : false, "suffix" : "" }, { "dropping-particle" : "", "family" : "Correia", "given" : "Roberta Targino Pinto", "non-dropping-particle" : "", "parse-names" : false, "suffix" : "" } ], "container-title" : "Braz food Nutr", "id" : "ITEM-1", "issue" : "4", "issued" : { "date-parts" : [ [ "2013" ] ] }, "page" : "369-377", "title" : "Physicochemical and bioactive characterization of the Indian Fig Cactus ( Opuntia ficus-indica ) fruit and mesquite ( Prosopis juliflora ) flour and sensory assessment of derived products", "type" : "article-journal", "volume" : "24" }, "uris" : [ "http://www.mendeley.com/documents/?uuid=eaabb6f5-f0ae-46f1-b00f-375eaef125e2" ] } ], "mendeley" : { "formattedCitation" : "(Souza &amp; Correia, 2013)", "manualFormatting" : "Souza &amp; Correia, (2013)", "plainTextFormattedCitation" : "(Souza &amp; Correia, 2013)", "previouslyFormattedCitation" : "(Souza &amp; Correia, 2013)" }, "properties" : { "noteIndex" : 0 }, "schema" : "https://github.com/citation-style-language/schema/raw/master/csl-citation.json" }</w:instrText>
      </w:r>
      <w:r w:rsidR="007B13B3">
        <w:rPr>
          <w:rFonts w:eastAsiaTheme="minorHAnsi"/>
          <w:color w:val="auto"/>
          <w:szCs w:val="24"/>
          <w:lang w:eastAsia="en-US"/>
        </w:rPr>
        <w:fldChar w:fldCharType="separate"/>
      </w:r>
      <w:r w:rsidR="007B13B3" w:rsidRPr="007B13B3">
        <w:rPr>
          <w:rFonts w:eastAsiaTheme="minorHAnsi"/>
          <w:noProof/>
          <w:color w:val="auto"/>
          <w:szCs w:val="24"/>
          <w:lang w:eastAsia="en-US"/>
        </w:rPr>
        <w:t xml:space="preserve">Souza &amp; Correia, </w:t>
      </w:r>
      <w:r w:rsidR="00676F1F">
        <w:rPr>
          <w:rFonts w:eastAsiaTheme="minorHAnsi"/>
          <w:noProof/>
          <w:color w:val="auto"/>
          <w:szCs w:val="24"/>
          <w:lang w:eastAsia="en-US"/>
        </w:rPr>
        <w:t>(</w:t>
      </w:r>
      <w:r w:rsidR="007B13B3" w:rsidRPr="007B13B3">
        <w:rPr>
          <w:rFonts w:eastAsiaTheme="minorHAnsi"/>
          <w:noProof/>
          <w:color w:val="auto"/>
          <w:szCs w:val="24"/>
          <w:lang w:eastAsia="en-US"/>
        </w:rPr>
        <w:t>2013)</w:t>
      </w:r>
      <w:r w:rsidR="007B13B3">
        <w:rPr>
          <w:rFonts w:eastAsiaTheme="minorHAnsi"/>
          <w:color w:val="auto"/>
          <w:szCs w:val="24"/>
          <w:lang w:eastAsia="en-US"/>
        </w:rPr>
        <w:fldChar w:fldCharType="end"/>
      </w:r>
      <w:r w:rsidR="00E94415">
        <w:rPr>
          <w:rFonts w:eastAsiaTheme="minorHAnsi"/>
          <w:color w:val="auto"/>
          <w:szCs w:val="24"/>
          <w:lang w:eastAsia="en-US"/>
        </w:rPr>
        <w:t xml:space="preserve"> e inferior</w:t>
      </w:r>
      <w:r w:rsidR="00DA79C5">
        <w:rPr>
          <w:rFonts w:eastAsiaTheme="minorHAnsi"/>
          <w:color w:val="auto"/>
          <w:szCs w:val="24"/>
          <w:lang w:eastAsia="en-US"/>
        </w:rPr>
        <w:t>es</w:t>
      </w:r>
      <w:r w:rsidR="00E94415">
        <w:rPr>
          <w:rFonts w:eastAsiaTheme="minorHAnsi"/>
          <w:color w:val="auto"/>
          <w:szCs w:val="24"/>
          <w:lang w:eastAsia="en-US"/>
        </w:rPr>
        <w:t xml:space="preserve"> a 0.94 ±0.07 mg/g descrito por Miranda, (2014). P</w:t>
      </w:r>
      <w:r w:rsidRPr="006C2067">
        <w:rPr>
          <w:rFonts w:eastAsiaTheme="minorHAnsi"/>
          <w:color w:val="auto"/>
          <w:szCs w:val="24"/>
          <w:lang w:eastAsia="en-US"/>
        </w:rPr>
        <w:t>or úl</w:t>
      </w:r>
      <w:r w:rsidR="00E0270A">
        <w:rPr>
          <w:rFonts w:eastAsiaTheme="minorHAnsi"/>
          <w:color w:val="auto"/>
          <w:szCs w:val="24"/>
          <w:lang w:eastAsia="en-US"/>
        </w:rPr>
        <w:t>timo o ecótipo ‘verde’</w:t>
      </w:r>
      <w:r w:rsidR="009C1BE2">
        <w:rPr>
          <w:rFonts w:eastAsiaTheme="minorHAnsi"/>
          <w:color w:val="auto"/>
          <w:szCs w:val="24"/>
          <w:lang w:eastAsia="en-US"/>
        </w:rPr>
        <w:t xml:space="preserve">, apresentando também valores inferiores </w:t>
      </w:r>
      <w:r w:rsidR="00E94415">
        <w:rPr>
          <w:rFonts w:eastAsiaTheme="minorHAnsi"/>
          <w:color w:val="auto"/>
          <w:szCs w:val="24"/>
          <w:lang w:eastAsia="en-US"/>
        </w:rPr>
        <w:t>0.005±0.001 mg/g descrito por</w:t>
      </w:r>
      <w:r w:rsidR="009C1BE2">
        <w:rPr>
          <w:rFonts w:eastAsiaTheme="minorHAnsi"/>
          <w:color w:val="auto"/>
          <w:szCs w:val="24"/>
          <w:lang w:eastAsia="en-US"/>
        </w:rPr>
        <w:t xml:space="preserve"> </w:t>
      </w:r>
      <w:r w:rsidR="009C1BE2">
        <w:rPr>
          <w:rFonts w:eastAsiaTheme="minorHAnsi"/>
          <w:color w:val="auto"/>
          <w:szCs w:val="24"/>
          <w:lang w:eastAsia="en-US"/>
        </w:rPr>
        <w:fldChar w:fldCharType="begin" w:fldLock="1"/>
      </w:r>
      <w:r w:rsidR="00BD1ECB">
        <w:rPr>
          <w:rFonts w:eastAsiaTheme="minorHAnsi"/>
          <w:color w:val="auto"/>
          <w:szCs w:val="24"/>
          <w:lang w:eastAsia="en-US"/>
        </w:rPr>
        <w:instrText>ADDIN CSL_CITATION { "citationItems" : [ { "id" : "ITEM-1", "itemData" : { "author" : [ { "dropping-particle" : "", "family" : "Miranda", "given" : "Sofia Alexandra Duate", "non-dropping-particle" : "", "parse-names" : false, "suffix" : "" } ], "id" : "ITEM-1", "issued" : { "date-parts" : [ [ "2014" ] ] }, "number-of-pages" : "1-37", "publisher" : "Universidade de Atl\u00e2ntica", "title" : "Caracteriza\u00e7\u00e3o nutricional e funcional de tr\u00eas variedades portuguesas de figo de piteira", "type" : "thesis" }, "uris" : [ "http://www.mendeley.com/documents/?uuid=10dfe05a-d8de-4fb8-a1e9-b6cb2323ea16" ] } ], "mendeley" : { "formattedCitation" : "(Miranda, 2014)", "manualFormatting" : "Miranda, (2014)", "plainTextFormattedCitation" : "(Miranda, 2014)", "previouslyFormattedCitation" : "(Miranda, 2014)" }, "properties" : { "noteIndex" : 0 }, "schema" : "https://github.com/citation-style-language/schema/raw/master/csl-citation.json" }</w:instrText>
      </w:r>
      <w:r w:rsidR="009C1BE2">
        <w:rPr>
          <w:rFonts w:eastAsiaTheme="minorHAnsi"/>
          <w:color w:val="auto"/>
          <w:szCs w:val="24"/>
          <w:lang w:eastAsia="en-US"/>
        </w:rPr>
        <w:fldChar w:fldCharType="separate"/>
      </w:r>
      <w:r w:rsidR="009C1BE2" w:rsidRPr="009C1BE2">
        <w:rPr>
          <w:rFonts w:eastAsiaTheme="minorHAnsi"/>
          <w:noProof/>
          <w:color w:val="auto"/>
          <w:szCs w:val="24"/>
          <w:lang w:eastAsia="en-US"/>
        </w:rPr>
        <w:t xml:space="preserve">Miranda, </w:t>
      </w:r>
      <w:r w:rsidR="009C1BE2">
        <w:rPr>
          <w:rFonts w:eastAsiaTheme="minorHAnsi"/>
          <w:noProof/>
          <w:color w:val="auto"/>
          <w:szCs w:val="24"/>
          <w:lang w:eastAsia="en-US"/>
        </w:rPr>
        <w:t>(</w:t>
      </w:r>
      <w:r w:rsidR="009C1BE2" w:rsidRPr="009C1BE2">
        <w:rPr>
          <w:rFonts w:eastAsiaTheme="minorHAnsi"/>
          <w:noProof/>
          <w:color w:val="auto"/>
          <w:szCs w:val="24"/>
          <w:lang w:eastAsia="en-US"/>
        </w:rPr>
        <w:t>2014)</w:t>
      </w:r>
      <w:r w:rsidR="009C1BE2">
        <w:rPr>
          <w:rFonts w:eastAsiaTheme="minorHAnsi"/>
          <w:color w:val="auto"/>
          <w:szCs w:val="24"/>
          <w:lang w:eastAsia="en-US"/>
        </w:rPr>
        <w:fldChar w:fldCharType="end"/>
      </w:r>
      <w:r w:rsidR="00E0270A">
        <w:rPr>
          <w:rFonts w:eastAsiaTheme="minorHAnsi"/>
          <w:color w:val="auto"/>
          <w:szCs w:val="24"/>
          <w:lang w:eastAsia="en-US"/>
        </w:rPr>
        <w:t>.</w:t>
      </w:r>
    </w:p>
    <w:p w14:paraId="14FBC8ED" w14:textId="77777777" w:rsidR="007F723B" w:rsidRDefault="007F723B" w:rsidP="00676F1F">
      <w:pPr>
        <w:keepNext/>
        <w:jc w:val="center"/>
      </w:pPr>
      <w:r w:rsidRPr="00652145">
        <w:rPr>
          <w:rFonts w:asciiTheme="minorHAnsi" w:eastAsiaTheme="minorHAnsi" w:hAnsiTheme="minorHAnsi" w:cstheme="minorBidi"/>
          <w:noProof/>
          <w:color w:val="auto"/>
          <w:sz w:val="22"/>
        </w:rPr>
        <w:lastRenderedPageBreak/>
        <w:drawing>
          <wp:inline distT="0" distB="0" distL="0" distR="0" wp14:anchorId="408672D9" wp14:editId="25E341D4">
            <wp:extent cx="4572000" cy="2743200"/>
            <wp:effectExtent l="0" t="0" r="0" b="0"/>
            <wp:docPr id="236" name="Gráfico 236">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4C5010D-F080-474A-B43B-19130FE85F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A57DBE8" w14:textId="4D43A0B8" w:rsidR="007F723B" w:rsidRPr="007F723B" w:rsidRDefault="007F723B" w:rsidP="00F20BAE">
      <w:pPr>
        <w:pStyle w:val="Legenda"/>
        <w:ind w:right="-1"/>
      </w:pPr>
      <w:bookmarkStart w:id="318" w:name="_Toc479333900"/>
      <w:r>
        <w:t xml:space="preserve">Figura </w:t>
      </w:r>
      <w:r w:rsidR="00805B44">
        <w:fldChar w:fldCharType="begin"/>
      </w:r>
      <w:r w:rsidR="00805B44">
        <w:instrText xml:space="preserve"> SEQ Figura \* ARABIC </w:instrText>
      </w:r>
      <w:r w:rsidR="00805B44">
        <w:fldChar w:fldCharType="separate"/>
      </w:r>
      <w:r w:rsidR="005F28B4">
        <w:rPr>
          <w:noProof/>
        </w:rPr>
        <w:t>25</w:t>
      </w:r>
      <w:r w:rsidR="00805B44">
        <w:rPr>
          <w:noProof/>
        </w:rPr>
        <w:fldChar w:fldCharType="end"/>
      </w:r>
      <w:r>
        <w:t xml:space="preserve"> - </w:t>
      </w:r>
      <w:r w:rsidRPr="006C2067">
        <w:rPr>
          <w:rFonts w:eastAsiaTheme="minorHAnsi"/>
          <w:i w:val="0"/>
          <w:color w:val="auto"/>
          <w:sz w:val="20"/>
          <w:szCs w:val="20"/>
          <w:lang w:eastAsia="en-US"/>
        </w:rPr>
        <w:t>Teor de betacianinas dos frutos de quatro diferentes ecótipos/cultivares do figo-da-índia (‘laranja’, ‘verde’, ‘Rosso’ e ‘Gialla’). Os val</w:t>
      </w:r>
      <w:r w:rsidR="00901BBD">
        <w:rPr>
          <w:rFonts w:eastAsiaTheme="minorHAnsi"/>
          <w:i w:val="0"/>
          <w:color w:val="auto"/>
          <w:sz w:val="20"/>
          <w:szCs w:val="20"/>
          <w:lang w:eastAsia="en-US"/>
        </w:rPr>
        <w:t>ores representam uma média de 3</w:t>
      </w:r>
      <w:r w:rsidRPr="006C2067">
        <w:rPr>
          <w:rFonts w:eastAsiaTheme="minorHAnsi"/>
          <w:i w:val="0"/>
          <w:color w:val="auto"/>
          <w:sz w:val="20"/>
          <w:szCs w:val="20"/>
          <w:lang w:eastAsia="en-US"/>
        </w:rPr>
        <w:t xml:space="preserve"> amostras por cultivar. As barras referentes à parte da casca com a mesma letra maiúscula e barras referentes à parte da polpa com a mesma letra minúscula no topo não são significativamente diferentes pelo teste de Duncan (Duncan Multiple Range Test, at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 xml:space="preserve">05). As duas barras com NS, * ou *** no topo não são significativamente diferentes ou são significativamente diferentes para </w:t>
      </w:r>
      <w:proofErr w:type="gramStart"/>
      <w:r w:rsidRPr="006C2067">
        <w:rPr>
          <w:rFonts w:eastAsiaTheme="minorHAnsi"/>
          <w:i w:val="0"/>
          <w:color w:val="auto"/>
          <w:sz w:val="20"/>
          <w:szCs w:val="20"/>
          <w:lang w:eastAsia="en-US"/>
        </w:rPr>
        <w:t>P&lt;0.</w:t>
      </w:r>
      <w:proofErr w:type="gramEnd"/>
      <w:r w:rsidRPr="006C2067">
        <w:rPr>
          <w:rFonts w:eastAsiaTheme="minorHAnsi"/>
          <w:i w:val="0"/>
          <w:color w:val="auto"/>
          <w:sz w:val="20"/>
          <w:szCs w:val="20"/>
          <w:lang w:eastAsia="en-US"/>
        </w:rPr>
        <w:t>05 ou P &lt;0.01.</w:t>
      </w:r>
      <w:bookmarkEnd w:id="318"/>
    </w:p>
    <w:p w14:paraId="379C0269" w14:textId="77777777" w:rsidR="007F723B" w:rsidRDefault="007F723B" w:rsidP="007F723B">
      <w:pPr>
        <w:spacing w:after="160" w:line="360" w:lineRule="auto"/>
        <w:ind w:left="0" w:right="0" w:firstLine="0"/>
      </w:pPr>
    </w:p>
    <w:p w14:paraId="771559A5" w14:textId="6A62B535" w:rsidR="00874CB0" w:rsidRPr="00874CB0" w:rsidRDefault="004C183F" w:rsidP="00874CB0">
      <w:pPr>
        <w:spacing w:line="360" w:lineRule="auto"/>
        <w:ind w:right="-1"/>
        <w:rPr>
          <w:color w:val="auto"/>
          <w:sz w:val="22"/>
        </w:rPr>
      </w:pPr>
      <w:r>
        <w:t>Como é visível na F</w:t>
      </w:r>
      <w:r w:rsidR="00874CB0" w:rsidRPr="00874CB0">
        <w:t>igura 26, não existem grandes diferenças no teor de betaxantinas entre a casca e a polpa sendo que esta não é significativa tendo p&gt; 0.05 segundo analise pela ANOVA.</w:t>
      </w:r>
    </w:p>
    <w:p w14:paraId="091D178A" w14:textId="2296C2FD" w:rsidR="00874CB0" w:rsidRPr="00874CB0" w:rsidRDefault="00874CB0" w:rsidP="00874CB0">
      <w:pPr>
        <w:spacing w:line="360" w:lineRule="auto"/>
        <w:ind w:right="-1"/>
      </w:pPr>
      <w:r w:rsidRPr="00874CB0">
        <w:t>Relativamente à casca, esta apresentou maior quantidade de betaxantina</w:t>
      </w:r>
      <w:r w:rsidR="00E0270A">
        <w:t>s no ecótipo ‘laranja’ (1.91 ± 0.21</w:t>
      </w:r>
      <w:r w:rsidRPr="00874CB0">
        <w:t xml:space="preserve"> mg/g) seguiram-se a cultivar ‘Gialla’ (1.</w:t>
      </w:r>
      <w:r w:rsidR="00E0270A">
        <w:t>87 ± 0.17</w:t>
      </w:r>
      <w:r w:rsidRPr="00874CB0">
        <w:t xml:space="preserve"> mg/g</w:t>
      </w:r>
      <w:r w:rsidR="00E0270A">
        <w:t>) e a cultivar ‘Rosso’ (1.72 ± 0.4</w:t>
      </w:r>
      <w:r w:rsidRPr="00874CB0">
        <w:t xml:space="preserve"> mg/g) todas com valores semelhantes e por último com teores significativamente menores tiv</w:t>
      </w:r>
      <w:r w:rsidR="00E0270A">
        <w:t>emos o ecótipo ’verde’ (0.30 ± 0.07</w:t>
      </w:r>
      <w:r w:rsidRPr="00874CB0">
        <w:t xml:space="preserve"> mg/g). Estes valores apresentados </w:t>
      </w:r>
      <w:r w:rsidR="008A02A0">
        <w:t xml:space="preserve">são mais elevados que 0.04 ± 0.002mg/g </w:t>
      </w:r>
      <w:r w:rsidRPr="00874CB0">
        <w:t>obtid</w:t>
      </w:r>
      <w:r w:rsidR="008A02A0">
        <w:t>o</w:t>
      </w:r>
      <w:r w:rsidRPr="00874CB0">
        <w:t xml:space="preserve"> por </w:t>
      </w:r>
      <w:r w:rsidRPr="00874CB0">
        <w:fldChar w:fldCharType="begin" w:fldLock="1"/>
      </w:r>
      <w:r w:rsidR="00BD1ECB">
        <w:instrText>ADDIN CSL_CITATION { "citationItems" : [ { "id" : "ITEM-1", "itemData" : { "DOI" : "10.4172/2161-1009.1000158", "ISSN" : "21611009", "author" : [ { "dropping-particle" : "", "family" : "Abou-Elella", "given" : "Faten M", "non-dropping-particle" : "", "parse-names" : false, "suffix" : "" }, { "dropping-particle" : "", "family" : "Ali", "given" : "Rehab Farouk Mohammed", "non-dropping-particle" : "", "parse-names" : false, "suffix" : "" } ], "container-title" : "Biochemistry &amp; Analytical Biochemistry", "id" : "ITEM-1", "issue" : "02", "issued" : { "date-parts" : [ [ "2014" ] ] }, "page" : "1-9", "title" : "Antioxidant and Anticancer Activities of Different Constituents Extracted from Egyptian Prickly Pear Cactus (Opuntia ficus-indica) Peel", "type" : "article-journal", "volume" : "03" }, "uris" : [ "http://www.mendeley.com/documents/?uuid=b2bdca0d-a8e0-455d-ba1d-ce8f4f223373" ] } ], "mendeley" : { "formattedCitation" : "(Abou-Elella &amp; Ali, 2014)", "manualFormatting" : "M. Abou Elella (2014)", "plainTextFormattedCitation" : "(Abou-Elella &amp; Ali, 2014)", "previouslyFormattedCitation" : "(Abou-Elella &amp; Ali, 2014)" }, "properties" : { "noteIndex" : 0 }, "schema" : "https://github.com/citation-style-language/schema/raw/master/csl-citation.json" }</w:instrText>
      </w:r>
      <w:r w:rsidRPr="00874CB0">
        <w:fldChar w:fldCharType="separate"/>
      </w:r>
      <w:r w:rsidRPr="00874CB0">
        <w:rPr>
          <w:noProof/>
        </w:rPr>
        <w:t>M. Abou Elella (2014)</w:t>
      </w:r>
      <w:r w:rsidRPr="00874CB0">
        <w:fldChar w:fldCharType="end"/>
      </w:r>
      <w:r w:rsidRPr="00874CB0">
        <w:t>.</w:t>
      </w:r>
    </w:p>
    <w:p w14:paraId="3C1CC1B4" w14:textId="15D21592" w:rsidR="006A6F0A" w:rsidRDefault="00874CB0" w:rsidP="00874CB0">
      <w:pPr>
        <w:spacing w:line="360" w:lineRule="auto"/>
        <w:ind w:right="-1"/>
      </w:pPr>
      <w:r w:rsidRPr="00874CB0">
        <w:t>Na polpa os teores mais elevados de betaxantinas foram encontrado</w:t>
      </w:r>
      <w:r w:rsidR="000C34CE">
        <w:t>s na cultivar ‘Gialla’ (2.38 ± 0.56</w:t>
      </w:r>
      <w:r w:rsidRPr="00874CB0">
        <w:t xml:space="preserve"> mg/g), com valor significativamente inferior apresentaram-se a cultivar ‘Ross</w:t>
      </w:r>
      <w:r w:rsidR="000C34CE">
        <w:t>o’ (1.58 ± 0.25</w:t>
      </w:r>
      <w:r w:rsidRPr="00874CB0">
        <w:t xml:space="preserve"> mg/g)</w:t>
      </w:r>
      <w:r w:rsidR="000C34CE">
        <w:t>, e o ecótipo ‘laranja’ (1.29</w:t>
      </w:r>
      <w:r w:rsidRPr="00874CB0">
        <w:t xml:space="preserve"> ± 0.07 mg/g)</w:t>
      </w:r>
      <w:r w:rsidR="006A6F0A">
        <w:t xml:space="preserve"> valor este </w:t>
      </w:r>
      <w:r w:rsidR="00F207E3">
        <w:t>superiores</w:t>
      </w:r>
      <w:r w:rsidR="006A6F0A">
        <w:t xml:space="preserve"> a </w:t>
      </w:r>
      <w:r w:rsidR="00F207E3">
        <w:t>0.05±0.006 mg/g</w:t>
      </w:r>
      <w:r w:rsidR="00071EF0">
        <w:t xml:space="preserve"> n</w:t>
      </w:r>
      <w:r w:rsidR="00F207E3">
        <w:t>o ecótipo ‘laranja’</w:t>
      </w:r>
      <w:r w:rsidR="00071EF0">
        <w:t xml:space="preserve"> referido por </w:t>
      </w:r>
      <w:r w:rsidR="006A6F0A">
        <w:fldChar w:fldCharType="begin" w:fldLock="1"/>
      </w:r>
      <w:r w:rsidR="00AE059F">
        <w:instrText>ADDIN CSL_CITATION { "citationItems" : [ { "id" : "ITEM-1", "itemData" : { "author" : [ { "dropping-particle" : "", "family" : "Souza", "given" : "Rosane Li\u00e9ge Alves", "non-dropping-particle" : "", "parse-names" : false, "suffix" : "" }, { "dropping-particle" : "", "family" : "Correia", "given" : "Roberta Targino Pinto", "non-dropping-particle" : "", "parse-names" : false, "suffix" : "" } ], "container-title" : "Braz food Nutr", "id" : "ITEM-1", "issue" : "4", "issued" : { "date-parts" : [ [ "2013" ] ] }, "page" : "369-377", "title" : "Physicochemical and bioactive characterization of the Indian Fig Cactus ( Opuntia ficus-indica ) fruit and mesquite ( Prosopis juliflora ) flour and sensory assessment of derived products", "type" : "article-journal", "volume" : "24" }, "uris" : [ "http://www.mendeley.com/documents/?uuid=eaabb6f5-f0ae-46f1-b00f-375eaef125e2" ] } ], "mendeley" : { "formattedCitation" : "(Souza &amp; Correia, 2013)", "manualFormatting" : "Souza &amp; Correia, (2013", "plainTextFormattedCitation" : "(Souza &amp; Correia, 2013)", "previouslyFormattedCitation" : "(Souza &amp; Correia, 2013)" }, "properties" : { "noteIndex" : 0 }, "schema" : "https://github.com/citation-style-language/schema/raw/master/csl-citation.json" }</w:instrText>
      </w:r>
      <w:r w:rsidR="006A6F0A">
        <w:fldChar w:fldCharType="separate"/>
      </w:r>
      <w:r w:rsidR="006A6F0A" w:rsidRPr="006A6F0A">
        <w:rPr>
          <w:noProof/>
        </w:rPr>
        <w:t xml:space="preserve">Souza &amp; Correia, </w:t>
      </w:r>
      <w:r w:rsidR="00AE059F">
        <w:rPr>
          <w:noProof/>
        </w:rPr>
        <w:t>(</w:t>
      </w:r>
      <w:r w:rsidR="006A6F0A" w:rsidRPr="006A6F0A">
        <w:rPr>
          <w:noProof/>
        </w:rPr>
        <w:t>2013</w:t>
      </w:r>
      <w:r w:rsidR="006A6F0A">
        <w:fldChar w:fldCharType="end"/>
      </w:r>
      <w:r w:rsidR="00AE059F">
        <w:t>) e</w:t>
      </w:r>
      <w:r w:rsidR="00071EF0">
        <w:t xml:space="preserve"> a na cultiva </w:t>
      </w:r>
      <w:r w:rsidR="00F207E3">
        <w:t>‘Rosso’ valores</w:t>
      </w:r>
      <w:r w:rsidR="00071EF0">
        <w:t xml:space="preserve"> </w:t>
      </w:r>
      <w:r w:rsidR="00F207E3">
        <w:t>superiores a 0.47±0.01 mg/g referido por</w:t>
      </w:r>
      <w:r w:rsidR="00AE059F">
        <w:t xml:space="preserve"> </w:t>
      </w:r>
      <w:r w:rsidR="00AE059F">
        <w:fldChar w:fldCharType="begin" w:fldLock="1"/>
      </w:r>
      <w:r w:rsidR="00BD1ECB">
        <w:instrText>ADDIN CSL_CITATION { "citationItems" : [ { "id" : "ITEM-1", "itemData" : { "author" : [ { "dropping-particle" : "", "family" : "Miranda", "given" : "Sofia Alexandra Duate", "non-dropping-particle" : "", "parse-names" : false, "suffix" : "" } ], "id" : "ITEM-1", "issued" : { "date-parts" : [ [ "2014" ] ] }, "number-of-pages" : "1-37", "publisher" : "Universidade de Atl\u00e2ntica", "title" : "Caracteriza\u00e7\u00e3o nutricional e funcional de tr\u00eas variedades portuguesas de figo de piteira", "type" : "thesis" }, "uris" : [ "http://www.mendeley.com/documents/?uuid=10dfe05a-d8de-4fb8-a1e9-b6cb2323ea16" ] } ], "mendeley" : { "formattedCitation" : "(Miranda, 2014)", "manualFormatting" : "Miranda, (2014)", "plainTextFormattedCitation" : "(Miranda, 2014)", "previouslyFormattedCitation" : "(Miranda, 2014)" }, "properties" : { "noteIndex" : 0 }, "schema" : "https://github.com/citation-style-language/schema/raw/master/csl-citation.json" }</w:instrText>
      </w:r>
      <w:r w:rsidR="00AE059F">
        <w:fldChar w:fldCharType="separate"/>
      </w:r>
      <w:r w:rsidR="00AE059F" w:rsidRPr="00AE059F">
        <w:rPr>
          <w:noProof/>
        </w:rPr>
        <w:t xml:space="preserve">Miranda, </w:t>
      </w:r>
      <w:r w:rsidR="00AE059F">
        <w:rPr>
          <w:noProof/>
        </w:rPr>
        <w:t>(</w:t>
      </w:r>
      <w:r w:rsidR="00AE059F" w:rsidRPr="00AE059F">
        <w:rPr>
          <w:noProof/>
        </w:rPr>
        <w:t>2014)</w:t>
      </w:r>
      <w:r w:rsidR="00AE059F">
        <w:fldChar w:fldCharType="end"/>
      </w:r>
      <w:r w:rsidR="00F207E3">
        <w:t>.</w:t>
      </w:r>
    </w:p>
    <w:p w14:paraId="363FF58D" w14:textId="682859DC" w:rsidR="00874CB0" w:rsidRPr="00874CB0" w:rsidRDefault="00874CB0" w:rsidP="00874CB0">
      <w:pPr>
        <w:spacing w:line="360" w:lineRule="auto"/>
        <w:ind w:right="-1"/>
      </w:pPr>
      <w:r w:rsidRPr="00874CB0">
        <w:t>O menor teor de betaxantinas foi encontr</w:t>
      </w:r>
      <w:r w:rsidR="000C34CE">
        <w:t xml:space="preserve">ado no ecótipo ‘verde’ (0.21 ± 0.06 </w:t>
      </w:r>
      <w:r w:rsidRPr="00874CB0">
        <w:t xml:space="preserve">mg/g) sendo significativamente inferior ao de todas as outras cultivares/ecótipo. Os valores </w:t>
      </w:r>
      <w:r w:rsidRPr="00874CB0">
        <w:lastRenderedPageBreak/>
        <w:t xml:space="preserve">apresentados são superiores </w:t>
      </w:r>
      <w:r w:rsidR="00F207E3">
        <w:t xml:space="preserve">0.3 mg/g </w:t>
      </w:r>
      <w:r w:rsidRPr="00874CB0">
        <w:t xml:space="preserve">aos descritos por </w:t>
      </w:r>
      <w:r w:rsidRPr="00874CB0">
        <w:fldChar w:fldCharType="begin" w:fldLock="1"/>
      </w:r>
      <w:r w:rsidR="00D73AD0">
        <w:instrText>ADDIN CSL_CITATION { "citationItems" : [ { "id" : "ITEM-1", "itemData" : { "author" : [ { "dropping-particle" : "", "family" : "Schmandke", "given" : "Nuthetal", "non-dropping-particle" : "", "parse-names" : false, "suffix" : "" } ], "container-title" : "Ern\u00e4hrungs Umschau", "id" : "ITEM-1", "issue" : "2", "issued" : { "date-parts" : [ [ "2005" ] ] }, "page" : "56-58", "title" : "Betalains in beetroot and prickly pear fruit", "type" : "article-journal", "volume" : "52" }, "uris" : [ "http://www.mendeley.com/documents/?uuid=3a485c22-8fbb-4dec-8c03-e1bfc83b4965" ] } ], "mendeley" : { "formattedCitation" : "(Schmandke, 2005)", "manualFormatting" : "Schmandke (2005)", "plainTextFormattedCitation" : "(Schmandke, 2005)", "previouslyFormattedCitation" : "(Schmandke, 2005)" }, "properties" : { "noteIndex" : 0 }, "schema" : "https://github.com/citation-style-language/schema/raw/master/csl-citation.json" }</w:instrText>
      </w:r>
      <w:r w:rsidRPr="00874CB0">
        <w:fldChar w:fldCharType="separate"/>
      </w:r>
      <w:r w:rsidRPr="00874CB0">
        <w:rPr>
          <w:noProof/>
        </w:rPr>
        <w:t>Schmandke (2005)</w:t>
      </w:r>
      <w:r w:rsidRPr="00874CB0">
        <w:fldChar w:fldCharType="end"/>
      </w:r>
      <w:r w:rsidRPr="00874CB0">
        <w:t xml:space="preserve"> para as cultivares ‘Gialla’, ‘Rosso’ e ecótipo ‘laranja’, contudo a cultivar verde apresentou valores inferiores.</w:t>
      </w:r>
    </w:p>
    <w:p w14:paraId="4EBBEFEC" w14:textId="6432242F" w:rsidR="00874CB0" w:rsidRDefault="00874CB0" w:rsidP="00874CB0">
      <w:pPr>
        <w:spacing w:after="160" w:line="360" w:lineRule="auto"/>
        <w:ind w:left="0" w:right="0" w:firstLine="0"/>
      </w:pPr>
      <w:r w:rsidRPr="00874CB0">
        <w:t xml:space="preserve"> A casca apresentou significativamente mais betaxantinas do que a polpa</w:t>
      </w:r>
      <w:r w:rsidR="0008168B">
        <w:t xml:space="preserve"> no ecótipo ‘laranja’</w:t>
      </w:r>
      <w:r w:rsidRPr="00874CB0">
        <w:t>, o mesmo se verificou para a cultivar ‘Rosso’ e o ecótipo ‘verde’ embora sem diferenças significativas, contudo na cultivar ‘Gialla’ verificou-se o inverso (Fig</w:t>
      </w:r>
      <w:r>
        <w:t>ura 26)</w:t>
      </w:r>
    </w:p>
    <w:p w14:paraId="1AF01870" w14:textId="77777777" w:rsidR="00874CB0" w:rsidRDefault="00874CB0" w:rsidP="00F20BAE">
      <w:pPr>
        <w:keepNext/>
        <w:spacing w:after="160" w:line="360" w:lineRule="auto"/>
        <w:ind w:left="0" w:right="0" w:firstLine="0"/>
        <w:jc w:val="center"/>
      </w:pPr>
      <w:r>
        <w:rPr>
          <w:noProof/>
        </w:rPr>
        <w:drawing>
          <wp:inline distT="0" distB="0" distL="0" distR="0" wp14:anchorId="31BF2F9B" wp14:editId="7D607A05">
            <wp:extent cx="4581525" cy="2752725"/>
            <wp:effectExtent l="0" t="0" r="9525" b="9525"/>
            <wp:docPr id="32" name="Gráfico 3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1543B4D-B4A6-4064-B8EC-6724FA2596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7E64327" w14:textId="175508D8" w:rsidR="00874CB0" w:rsidRPr="00874CB0" w:rsidRDefault="00874CB0" w:rsidP="00F20BAE">
      <w:pPr>
        <w:pStyle w:val="Legenda"/>
        <w:ind w:right="-1"/>
        <w:rPr>
          <w:color w:val="auto"/>
        </w:rPr>
      </w:pPr>
      <w:bookmarkStart w:id="319" w:name="_Toc479333901"/>
      <w:r>
        <w:t xml:space="preserve">Figura </w:t>
      </w:r>
      <w:r w:rsidR="00805B44">
        <w:fldChar w:fldCharType="begin"/>
      </w:r>
      <w:r w:rsidR="00805B44">
        <w:instrText xml:space="preserve"> SEQ Figura \* ARABIC </w:instrText>
      </w:r>
      <w:r w:rsidR="00805B44">
        <w:fldChar w:fldCharType="separate"/>
      </w:r>
      <w:r w:rsidR="005F28B4">
        <w:rPr>
          <w:noProof/>
        </w:rPr>
        <w:t>26</w:t>
      </w:r>
      <w:r w:rsidR="00805B44">
        <w:rPr>
          <w:noProof/>
        </w:rPr>
        <w:fldChar w:fldCharType="end"/>
      </w:r>
      <w:r>
        <w:t xml:space="preserve"> </w:t>
      </w:r>
      <w:r w:rsidRPr="006C2067">
        <w:rPr>
          <w:i w:val="0"/>
        </w:rPr>
        <w:t xml:space="preserve">- </w:t>
      </w:r>
      <w:r w:rsidRPr="006C2067">
        <w:rPr>
          <w:i w:val="0"/>
          <w:color w:val="auto"/>
        </w:rPr>
        <w:t xml:space="preserve">Teor de betaxantinas </w:t>
      </w:r>
      <w:r w:rsidRPr="006C2067">
        <w:rPr>
          <w:i w:val="0"/>
          <w:color w:val="auto"/>
          <w:sz w:val="20"/>
          <w:szCs w:val="20"/>
        </w:rPr>
        <w:t>dos frutos de quatro diferentes ecótipos/cultivares do figo-da-índia (‘laranja’, ‘verde’, ‘Rosso’ e ‘Gialla’). Os val</w:t>
      </w:r>
      <w:r w:rsidR="00901BBD">
        <w:rPr>
          <w:i w:val="0"/>
          <w:color w:val="auto"/>
          <w:sz w:val="20"/>
          <w:szCs w:val="20"/>
        </w:rPr>
        <w:t>ores representam uma média de 3</w:t>
      </w:r>
      <w:r w:rsidRPr="006C2067">
        <w:rPr>
          <w:i w:val="0"/>
          <w:color w:val="auto"/>
          <w:sz w:val="20"/>
          <w:szCs w:val="20"/>
        </w:rPr>
        <w:t xml:space="preserve"> amostras por cultivar. As barras referentes à parte da casca com a mesma letra maiúscula e barras referentes à parte da polpa com a mesma letra minúscula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 xml:space="preserve">05). As duas barras com NS, * ou *** no topo não são significativamente diferentes ou são significativamente diferentes para </w:t>
      </w:r>
      <w:proofErr w:type="gramStart"/>
      <w:r w:rsidRPr="006C2067">
        <w:rPr>
          <w:i w:val="0"/>
          <w:color w:val="auto"/>
          <w:sz w:val="20"/>
          <w:szCs w:val="20"/>
        </w:rPr>
        <w:t>P&lt;0.</w:t>
      </w:r>
      <w:proofErr w:type="gramEnd"/>
      <w:r w:rsidRPr="006C2067">
        <w:rPr>
          <w:i w:val="0"/>
          <w:color w:val="auto"/>
          <w:sz w:val="20"/>
          <w:szCs w:val="20"/>
        </w:rPr>
        <w:t>05 ou P &lt;0.01</w:t>
      </w:r>
      <w:r w:rsidRPr="006C2067">
        <w:rPr>
          <w:i w:val="0"/>
          <w:color w:val="auto"/>
        </w:rPr>
        <w:t>.</w:t>
      </w:r>
      <w:bookmarkEnd w:id="319"/>
    </w:p>
    <w:p w14:paraId="27AAE711" w14:textId="77777777" w:rsidR="00874CB0" w:rsidRPr="00874CB0" w:rsidRDefault="00874CB0" w:rsidP="006C2067">
      <w:pPr>
        <w:ind w:left="0" w:firstLine="0"/>
      </w:pPr>
    </w:p>
    <w:p w14:paraId="626F3DFB" w14:textId="77777777" w:rsidR="00874CB0" w:rsidRPr="00874CB0" w:rsidRDefault="00874CB0" w:rsidP="00874CB0">
      <w:pPr>
        <w:pStyle w:val="Cabealho3"/>
        <w:rPr>
          <w:rFonts w:ascii="Times New Roman" w:hAnsi="Times New Roman" w:cs="Times New Roman"/>
          <w:color w:val="auto"/>
        </w:rPr>
      </w:pPr>
      <w:bookmarkStart w:id="320" w:name="_Toc462709798"/>
      <w:bookmarkStart w:id="321" w:name="_Toc479154874"/>
      <w:r w:rsidRPr="00874CB0">
        <w:rPr>
          <w:rFonts w:ascii="Times New Roman" w:hAnsi="Times New Roman" w:cs="Times New Roman"/>
          <w:color w:val="auto"/>
        </w:rPr>
        <w:t>3.1.5 Taninos</w:t>
      </w:r>
      <w:bookmarkEnd w:id="320"/>
      <w:bookmarkEnd w:id="321"/>
    </w:p>
    <w:p w14:paraId="60A9B8F9" w14:textId="77777777" w:rsidR="00874CB0" w:rsidRPr="00874CB0" w:rsidRDefault="00874CB0" w:rsidP="00874CB0"/>
    <w:p w14:paraId="6A2A0CC9" w14:textId="707075F2" w:rsidR="00874CB0" w:rsidRPr="00874CB0" w:rsidRDefault="00874CB0" w:rsidP="00874CB0">
      <w:pPr>
        <w:spacing w:line="360" w:lineRule="auto"/>
        <w:ind w:right="-1"/>
      </w:pPr>
      <w:r w:rsidRPr="00874CB0">
        <w:t xml:space="preserve">Os taninos são polifenóis solúveis em água e encontram-se presentes em fruta e vegetais </w:t>
      </w:r>
      <w:r w:rsidRPr="00874CB0">
        <w:fldChar w:fldCharType="begin" w:fldLock="1"/>
      </w:r>
      <w:r w:rsidR="0057093F">
        <w:instrText>ADDIN CSL_CITATION { "citationItems" : [ { "id" : "ITEM-1", "itemData" : { "DOI" : "http://dx.doi.org/10.1080/10408699891274273", "author" : [ { "dropping-particle" : "", "family" : "Chung", "given" : "King-Thom", "non-dropping-particle" : "", "parse-names" : false, "suffix" : "" }, { "dropping-particle" : "", "family" : "Wong", "given" : "Tit Yee", "non-dropping-particle" : "", "parse-names" : false, "suffix" : "" }, { "dropping-particle" : "", "family" : "Wei", "given" : "Cheng-I", "non-dropping-particle" : "", "parse-names" : false, "suffix" : "" }, { "dropping-particle" : "", "family" : "Huang", "given" : "Yao-Wen", "non-dropping-particle" : "", "parse-names" : false, "suffix" : "" } ], "container-title" : "Critical Reviews in Food Science and nutrition", "id" : "ITEM-1", "issue" : "6", "issued" : { "date-parts" : [ [ "1998" ] ] }, "page" : "241 - 464", "title" : "Tannins and Human Health: A Review", "type" : "article-journal", "volume" : "38" }, "uris" : [ "http://www.mendeley.com/documents/?uuid=62d5c516-517e-40c2-a437-774399841750" ] } ], "mendeley" : { "formattedCitation" : "(Chung, Wong, Wei, &amp; Huang, 1998)", "manualFormatting" : "(Chung et al., 1998)", "plainTextFormattedCitation" : "(Chung, Wong, Wei, &amp; Huang, 1998)", "previouslyFormattedCitation" : "(Chung, Wong, Wei, &amp; Huang, 1998)" }, "properties" : { "noteIndex" : 0 }, "schema" : "https://github.com/citation-style-language/schema/raw/master/csl-citation.json" }</w:instrText>
      </w:r>
      <w:r w:rsidRPr="00874CB0">
        <w:fldChar w:fldCharType="separate"/>
      </w:r>
      <w:r w:rsidR="00E3698F">
        <w:rPr>
          <w:noProof/>
        </w:rPr>
        <w:t>(</w:t>
      </w:r>
      <w:r w:rsidRPr="00874CB0">
        <w:rPr>
          <w:noProof/>
        </w:rPr>
        <w:t>Ch</w:t>
      </w:r>
      <w:r w:rsidR="000C34CE">
        <w:rPr>
          <w:noProof/>
        </w:rPr>
        <w:t>ung et al.</w:t>
      </w:r>
      <w:r w:rsidRPr="00874CB0">
        <w:rPr>
          <w:noProof/>
        </w:rPr>
        <w:t>, 1998)</w:t>
      </w:r>
      <w:r w:rsidRPr="00874CB0">
        <w:fldChar w:fldCharType="end"/>
      </w:r>
      <w:r w:rsidRPr="00874CB0">
        <w:t xml:space="preserve">. São divididos em taninos hidrolisáveis e taninos condensados e reagem com alcalóides, gelatina e outras proteínas levando a formação de um precipitado </w:t>
      </w:r>
      <w:r w:rsidRPr="00874CB0">
        <w:fldChar w:fldCharType="begin" w:fldLock="1"/>
      </w:r>
      <w:r w:rsidRPr="00874CB0">
        <w:instrText>ADDIN CSL_CITATION { "citationItems" : [ { "id" : "ITEM-1", "itemData" : { "author" : [ { "dropping-particle" : "", "family" : "Dias", "given" : "Catarina", "non-dropping-particle" : "", "parse-names" : false, "suffix" : "" } ], "id" : "ITEM-1", "issued" : { "date-parts" : [ [ "2011" ] ] }, "number-of-pages" : "4-18", "publisher" : "Universidade t\u00e9cnica de Lisboa", "title" : "Avalia\u00e7\u00e3o de taninos condensados , antocianinas e precursores de aroma ao longo da matura\u00e7\u00e3o em castas tintas : efeito da altitude da vinha", "type" : "thesis" }, "uris" : [ "http://www.mendeley.com/documents/?uuid=cfa50c9e-043c-4393-bef3-5d7f68e6bc3a" ] } ], "mendeley" : { "formattedCitation" : "(Dias, 2011)", "plainTextFormattedCitation" : "(Dias, 2011)", "previouslyFormattedCitation" : "(Dias, 2011)" }, "properties" : { "noteIndex" : 0 }, "schema" : "https://github.com/citation-style-language/schema/raw/master/csl-citation.json" }</w:instrText>
      </w:r>
      <w:r w:rsidRPr="00874CB0">
        <w:fldChar w:fldCharType="separate"/>
      </w:r>
      <w:r w:rsidRPr="00874CB0">
        <w:rPr>
          <w:noProof/>
        </w:rPr>
        <w:t>(Dias, 2011)</w:t>
      </w:r>
      <w:r w:rsidRPr="00874CB0">
        <w:fldChar w:fldCharType="end"/>
      </w:r>
      <w:r w:rsidRPr="00874CB0">
        <w:t>.</w:t>
      </w:r>
    </w:p>
    <w:p w14:paraId="6A395D2C" w14:textId="4C007BDB" w:rsidR="00874CB0" w:rsidRPr="00874CB0" w:rsidRDefault="00874CB0" w:rsidP="00874CB0">
      <w:pPr>
        <w:spacing w:line="360" w:lineRule="auto"/>
        <w:ind w:right="-1"/>
      </w:pPr>
      <w:r w:rsidRPr="00874CB0">
        <w:t>Na polpa o teor de taninos mais elevado foi encontrad</w:t>
      </w:r>
      <w:r w:rsidR="000C34CE">
        <w:t xml:space="preserve">o </w:t>
      </w:r>
      <w:proofErr w:type="gramStart"/>
      <w:r w:rsidR="000C34CE">
        <w:t>na</w:t>
      </w:r>
      <w:proofErr w:type="gramEnd"/>
      <w:r w:rsidR="000C34CE">
        <w:t xml:space="preserve"> cultivar ‘Gialla’ (21.88</w:t>
      </w:r>
      <w:r w:rsidRPr="00874CB0">
        <w:t xml:space="preserve"> ± 5.76 mg /g) seguiram</w:t>
      </w:r>
      <w:r w:rsidR="009057D9">
        <w:t>-se a cultivar ‘R</w:t>
      </w:r>
      <w:r w:rsidR="000C34CE">
        <w:t>osso</w:t>
      </w:r>
      <w:r w:rsidR="003901BE">
        <w:t>’ (</w:t>
      </w:r>
      <w:r w:rsidR="000C34CE">
        <w:t>18.19</w:t>
      </w:r>
      <w:r w:rsidRPr="00874CB0">
        <w:t xml:space="preserve"> ± 7.48 mg/g) e</w:t>
      </w:r>
      <w:r w:rsidR="000C34CE">
        <w:t xml:space="preserve"> o ecótipo ‘laranja’ (15.49</w:t>
      </w:r>
      <w:r w:rsidRPr="00874CB0">
        <w:t xml:space="preserve"> ± 3.62 mg/g)</w:t>
      </w:r>
      <w:r w:rsidR="00A145F3">
        <w:t>,</w:t>
      </w:r>
      <w:r w:rsidRPr="00874CB0">
        <w:t xml:space="preserve"> todos estes valores não diferem estatisticamente</w:t>
      </w:r>
      <w:r w:rsidR="00D434AF">
        <w:t>. No ecótipo ‘laranja’ apresenta valores superiores a</w:t>
      </w:r>
      <w:r w:rsidR="00A145F3">
        <w:t>os</w:t>
      </w:r>
      <w:r w:rsidR="00D434AF">
        <w:t xml:space="preserve"> 0.0116 ± 0.001 mg/g</w:t>
      </w:r>
      <w:r w:rsidRPr="00874CB0">
        <w:t xml:space="preserve"> </w:t>
      </w:r>
      <w:r w:rsidR="00D434AF">
        <w:t>ao</w:t>
      </w:r>
      <w:r w:rsidRPr="00874CB0">
        <w:t xml:space="preserve">s referidos por </w:t>
      </w:r>
      <w:r w:rsidRPr="00874CB0">
        <w:lastRenderedPageBreak/>
        <w:fldChar w:fldCharType="begin" w:fldLock="1"/>
      </w:r>
      <w:r w:rsidR="00A9472C">
        <w:instrText>ADDIN CSL_CITATION { "citationItems" : [ { "id" : "ITEM-1", "itemData" : { "author" : [ { "dropping-particle" : "", "family" : "Chougui", "given" : "Nadia", "non-dropping-particle" : "", "parse-names" : false, "suffix" : "" }, { "dropping-particle" : "", "family" : "Sahi", "given" : "Yasmine", "non-dropping-particle" : "", "parse-names" : false, "suffix" : "" }, { "dropping-particle" : "", "family" : "Belkacemi", "given" : "Mahmoud", "non-dropping-particle" : "", "parse-names" : false, "suffix" : "" } ], "container-title" : "Insidefood.Eu", "id" : "ITEM-1", "issued" : { "date-parts" : [ [ "2013" ] ] }, "page" : "9-12", "title" : "Comparative study between the different compartments of Opuntia ficus-indica L.", "type" : "article-journal" }, "uris" : [ "http://www.mendeley.com/documents/?uuid=f1eeb53c-1ccb-4877-838d-0e4cba629a03" ] } ], "mendeley" : { "formattedCitation" : "(Chougui et al., 2013)", "manualFormatting" : "Chougui et al.,  (2013)", "plainTextFormattedCitation" : "(Chougui et al., 2013)", "previouslyFormattedCitation" : "(Chougui et al., 2013)" }, "properties" : { "noteIndex" : 0 }, "schema" : "https://github.com/citation-style-language/schema/raw/master/csl-citation.json" }</w:instrText>
      </w:r>
      <w:r w:rsidRPr="00874CB0">
        <w:fldChar w:fldCharType="separate"/>
      </w:r>
      <w:r w:rsidR="000C34CE">
        <w:rPr>
          <w:noProof/>
        </w:rPr>
        <w:t>Chougui et al.,</w:t>
      </w:r>
      <w:r w:rsidRPr="00874CB0">
        <w:rPr>
          <w:noProof/>
        </w:rPr>
        <w:t xml:space="preserve">  (2013)</w:t>
      </w:r>
      <w:r w:rsidRPr="00874CB0">
        <w:fldChar w:fldCharType="end"/>
      </w:r>
      <w:r w:rsidR="0063657B">
        <w:t>.</w:t>
      </w:r>
      <w:r w:rsidRPr="00874CB0">
        <w:t xml:space="preserve"> O teor mais baixo de taninos foi o apresenta</w:t>
      </w:r>
      <w:r w:rsidR="00D17D64">
        <w:t>do pelo ecótipo ‘verde’</w:t>
      </w:r>
      <w:r w:rsidR="00B9742B">
        <w:t xml:space="preserve"> </w:t>
      </w:r>
      <w:r w:rsidR="00D17D64">
        <w:t>(0.73</w:t>
      </w:r>
      <w:r w:rsidR="00E3698F">
        <w:t xml:space="preserve"> ±0.01).</w:t>
      </w:r>
    </w:p>
    <w:p w14:paraId="35B85F3D" w14:textId="48092ED5" w:rsidR="00874CB0" w:rsidRPr="00874CB0" w:rsidRDefault="00874CB0" w:rsidP="00874CB0">
      <w:pPr>
        <w:spacing w:line="360" w:lineRule="auto"/>
        <w:ind w:right="-1"/>
      </w:pPr>
      <w:r w:rsidRPr="00874CB0">
        <w:t>A casca apresentou tal como a polpa maior teor de taninos</w:t>
      </w:r>
      <w:r w:rsidR="00D17D64">
        <w:t xml:space="preserve"> na cultivar ‘Gialla’ (18.58</w:t>
      </w:r>
      <w:r w:rsidRPr="00874CB0">
        <w:t xml:space="preserve"> ± 8.53 mg/g), seguiram-se com valores próxim</w:t>
      </w:r>
      <w:r w:rsidR="00D17D64">
        <w:t>os a cultivar ‘Rosso’ (14.68</w:t>
      </w:r>
      <w:r w:rsidRPr="00874CB0">
        <w:t xml:space="preserve"> ± 1.53 mg/g)</w:t>
      </w:r>
      <w:r w:rsidR="00D17D64">
        <w:t xml:space="preserve"> e o ecótipo ‘laranja’ (10.29</w:t>
      </w:r>
      <w:r w:rsidRPr="00874CB0">
        <w:t xml:space="preserve"> ± 1.91 mg/g)</w:t>
      </w:r>
      <w:r w:rsidR="00CA357A">
        <w:t>, este ecótipo</w:t>
      </w:r>
      <w:r w:rsidRPr="00874CB0">
        <w:t xml:space="preserve"> volta a ter valores mais elevados que </w:t>
      </w:r>
      <w:r w:rsidRPr="00874CB0">
        <w:fldChar w:fldCharType="begin" w:fldLock="1"/>
      </w:r>
      <w:r w:rsidRPr="00874CB0">
        <w:instrText>ADDIN CSL_CITATION { "citationItems" : [ { "id" : "ITEM-1", "itemData" : { "author" : [ { "dropping-particle" : "", "family" : "Chougui", "given" : "Nadia", "non-dropping-particle" : "", "parse-names" : false, "suffix" : "" }, { "dropping-particle" : "", "family" : "Sahi", "given" : "Yasmine", "non-dropping-particle" : "", "parse-names" : false, "suffix" : "" }, { "dropping-particle" : "", "family" : "Belkacemi", "given" : "Mahmoud", "non-dropping-particle" : "", "parse-names" : false, "suffix" : "" } ], "container-title" : "Insidefood.Eu", "id" : "ITEM-1", "issued" : { "date-parts" : [ [ "2013" ] ] }, "page" : "9-12", "title" : "Comparative study between the different compartments of Opuntia ficus-indica L.", "type" : "article-journal" }, "uris" : [ "http://www.mendeley.com/documents/?uuid=f1eeb53c-1ccb-4877-838d-0e4cba629a03" ] } ], "mendeley" : { "formattedCitation" : "(Chougui et al., 2013)", "manualFormatting" : "Chougui et al.(2013)", "plainTextFormattedCitation" : "(Chougui et al., 2013)", "previouslyFormattedCitation" : "(Chougui et al., 2013)" }, "properties" : { "noteIndex" : 0 }, "schema" : "https://github.com/citation-style-language/schema/raw/master/csl-citation.json" }</w:instrText>
      </w:r>
      <w:r w:rsidRPr="00874CB0">
        <w:fldChar w:fldCharType="separate"/>
      </w:r>
      <w:r w:rsidRPr="00874CB0">
        <w:rPr>
          <w:noProof/>
        </w:rPr>
        <w:t>Chougui et al.(2013)</w:t>
      </w:r>
      <w:r w:rsidRPr="00874CB0">
        <w:fldChar w:fldCharType="end"/>
      </w:r>
      <w:r w:rsidR="00CA357A">
        <w:t xml:space="preserve"> (0.198 ±0.002 mg/g). E</w:t>
      </w:r>
      <w:r w:rsidRPr="00874CB0">
        <w:t xml:space="preserve"> por fim com um valor significativamente inferior a todas as outras cultivares tiv</w:t>
      </w:r>
      <w:r w:rsidR="00D17D64">
        <w:t>emos o ecótipo ‘verde’ (4.66</w:t>
      </w:r>
      <w:r w:rsidR="00E3698F">
        <w:t xml:space="preserve"> ± 2.33 mg/g) (Figura 27).</w:t>
      </w:r>
    </w:p>
    <w:p w14:paraId="7D2A8378" w14:textId="77777777" w:rsidR="00874CB0" w:rsidRPr="00874CB0" w:rsidRDefault="00874CB0" w:rsidP="00874CB0">
      <w:pPr>
        <w:spacing w:line="360" w:lineRule="auto"/>
        <w:ind w:right="-1"/>
      </w:pPr>
      <w:r w:rsidRPr="00874CB0">
        <w:t>Entre a casca e a polpa não foram encontradas diferenças significativas pela ANOVA (</w:t>
      </w:r>
      <w:proofErr w:type="gramStart"/>
      <w:r w:rsidRPr="00874CB0">
        <w:t>p&gt;0.</w:t>
      </w:r>
      <w:proofErr w:type="gramEnd"/>
      <w:r w:rsidRPr="00874CB0">
        <w:t>05). No entanto a polpa apresentou valores ligeiramente superiores em todas as cultivares, exceto no ecótipo ‘verde’.</w:t>
      </w:r>
    </w:p>
    <w:p w14:paraId="63028A67" w14:textId="77777777" w:rsidR="00874CB0" w:rsidRPr="00874CB0" w:rsidRDefault="00874CB0" w:rsidP="00874CB0">
      <w:pPr>
        <w:spacing w:line="360" w:lineRule="auto"/>
        <w:ind w:right="-1"/>
        <w:rPr>
          <w:color w:val="auto"/>
          <w:sz w:val="22"/>
        </w:rPr>
      </w:pPr>
      <w:r w:rsidRPr="00874CB0">
        <w:t xml:space="preserve">As diferenças apresentadas podem ser um resultado de variações das condições climatéricas </w:t>
      </w:r>
      <w:r w:rsidRPr="00874CB0">
        <w:fldChar w:fldCharType="begin" w:fldLock="1"/>
      </w:r>
      <w:r w:rsidRPr="00874CB0">
        <w:instrText>ADDIN CSL_CITATION { "citationItems" : [ { "id" : "ITEM-1", "itemData" : { "author" : [ { "dropping-particle" : "", "family" : "Chougui", "given" : "Nadia", "non-dropping-particle" : "", "parse-names" : false, "suffix" : "" }, { "dropping-particle" : "", "family" : "Sahi", "given" : "Yasmine", "non-dropping-particle" : "", "parse-names" : false, "suffix" : "" }, { "dropping-particle" : "", "family" : "Belkacemi", "given" : "Mahmoud", "non-dropping-particle" : "", "parse-names" : false, "suffix" : "" } ], "container-title" : "Insidefood.Eu", "id" : "ITEM-1", "issued" : { "date-parts" : [ [ "2013" ] ] }, "page" : "9-12", "title" : "Comparative study between the different compartments of Opuntia ficus-indica L.", "type" : "article-journal" }, "uris" : [ "http://www.mendeley.com/documents/?uuid=f1eeb53c-1ccb-4877-838d-0e4cba629a03" ] } ], "mendeley" : { "formattedCitation" : "(Chougui et al., 2013)", "plainTextFormattedCitation" : "(Chougui et al., 2013)", "previouslyFormattedCitation" : "(Chougui et al., 2013)" }, "properties" : { "noteIndex" : 0 }, "schema" : "https://github.com/citation-style-language/schema/raw/master/csl-citation.json" }</w:instrText>
      </w:r>
      <w:r w:rsidRPr="00874CB0">
        <w:fldChar w:fldCharType="separate"/>
      </w:r>
      <w:r w:rsidRPr="00874CB0">
        <w:rPr>
          <w:noProof/>
        </w:rPr>
        <w:t>(Chougui et al., 2013)</w:t>
      </w:r>
      <w:r w:rsidRPr="00874CB0">
        <w:fldChar w:fldCharType="end"/>
      </w:r>
      <w:r w:rsidRPr="00874CB0">
        <w:t>.</w:t>
      </w:r>
    </w:p>
    <w:p w14:paraId="3CA2F72A" w14:textId="77777777" w:rsidR="00874CB0" w:rsidRPr="00874CB0" w:rsidRDefault="00874CB0" w:rsidP="00874CB0"/>
    <w:p w14:paraId="52F0CCEA" w14:textId="77777777" w:rsidR="00874CB0" w:rsidRDefault="00874CB0" w:rsidP="00F20BAE">
      <w:pPr>
        <w:keepNext/>
        <w:spacing w:after="160" w:line="360" w:lineRule="auto"/>
        <w:ind w:left="0" w:right="0" w:firstLine="0"/>
        <w:jc w:val="center"/>
      </w:pPr>
      <w:r>
        <w:rPr>
          <w:b/>
          <w:noProof/>
        </w:rPr>
        <w:drawing>
          <wp:inline distT="0" distB="0" distL="0" distR="0" wp14:anchorId="1393AC6B" wp14:editId="20355108">
            <wp:extent cx="4581525" cy="2752725"/>
            <wp:effectExtent l="0" t="0" r="9525" b="9525"/>
            <wp:docPr id="237" name="Gráfico 237">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757F4A-2CD8-4DE4-A6C1-B38B082369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AF211DC" w14:textId="10CC220A" w:rsidR="00874CB0" w:rsidRPr="006C2067" w:rsidRDefault="00874CB0" w:rsidP="00F20BAE">
      <w:pPr>
        <w:pStyle w:val="Legenda"/>
        <w:ind w:right="-1"/>
        <w:rPr>
          <w:i w:val="0"/>
          <w:color w:val="auto"/>
        </w:rPr>
      </w:pPr>
      <w:bookmarkStart w:id="322" w:name="_Toc479333902"/>
      <w:r>
        <w:t xml:space="preserve">Figura </w:t>
      </w:r>
      <w:r w:rsidR="00805B44">
        <w:fldChar w:fldCharType="begin"/>
      </w:r>
      <w:r w:rsidR="00805B44">
        <w:instrText xml:space="preserve"> SEQ Figura \* A</w:instrText>
      </w:r>
      <w:r w:rsidR="00805B44">
        <w:instrText xml:space="preserve">RABIC </w:instrText>
      </w:r>
      <w:r w:rsidR="00805B44">
        <w:fldChar w:fldCharType="separate"/>
      </w:r>
      <w:r w:rsidR="005F28B4">
        <w:rPr>
          <w:noProof/>
        </w:rPr>
        <w:t>27</w:t>
      </w:r>
      <w:r w:rsidR="00805B44">
        <w:rPr>
          <w:noProof/>
        </w:rPr>
        <w:fldChar w:fldCharType="end"/>
      </w:r>
      <w:r>
        <w:t xml:space="preserve"> - </w:t>
      </w:r>
      <w:r w:rsidRPr="006C2067">
        <w:rPr>
          <w:i w:val="0"/>
          <w:color w:val="auto"/>
        </w:rPr>
        <w:t xml:space="preserve">Taninos </w:t>
      </w:r>
      <w:r w:rsidRPr="006C2067">
        <w:rPr>
          <w:i w:val="0"/>
          <w:color w:val="auto"/>
          <w:sz w:val="20"/>
          <w:szCs w:val="20"/>
        </w:rPr>
        <w:t>dos frutos de quatro diferentes ecótipos/cultivares do figo-da-índia (‘laranja’, ‘verde’, ‘Rosso’ e ‘Gialla’). Os val</w:t>
      </w:r>
      <w:r w:rsidR="00901BBD">
        <w:rPr>
          <w:i w:val="0"/>
          <w:color w:val="auto"/>
          <w:sz w:val="20"/>
          <w:szCs w:val="20"/>
        </w:rPr>
        <w:t>ores representam uma média de 3</w:t>
      </w:r>
      <w:r w:rsidRPr="006C2067">
        <w:rPr>
          <w:i w:val="0"/>
          <w:color w:val="auto"/>
          <w:sz w:val="20"/>
          <w:szCs w:val="20"/>
        </w:rPr>
        <w:t xml:space="preserve"> amostras por cultivar. As barras referentes à parte da casca com a mesma letra maiúscula e barras referentes à parte da polpa com a mesma letra minúscula no topo não são significativamente diferentes pelo teste de</w:t>
      </w:r>
      <w:r w:rsidRPr="00874CB0">
        <w:rPr>
          <w:color w:val="auto"/>
          <w:sz w:val="20"/>
          <w:szCs w:val="20"/>
        </w:rPr>
        <w:t xml:space="preserve"> </w:t>
      </w:r>
      <w:r w:rsidRPr="006C2067">
        <w:rPr>
          <w:i w:val="0"/>
          <w:color w:val="auto"/>
          <w:sz w:val="20"/>
          <w:szCs w:val="20"/>
        </w:rPr>
        <w:t xml:space="preserve">Duncan (Duncan Multiple Range Test, at </w:t>
      </w:r>
      <w:proofErr w:type="gramStart"/>
      <w:r w:rsidRPr="006C2067">
        <w:rPr>
          <w:i w:val="0"/>
          <w:color w:val="auto"/>
          <w:sz w:val="20"/>
          <w:szCs w:val="20"/>
        </w:rPr>
        <w:t>P&lt;0.</w:t>
      </w:r>
      <w:proofErr w:type="gramEnd"/>
      <w:r w:rsidRPr="006C2067">
        <w:rPr>
          <w:i w:val="0"/>
          <w:color w:val="auto"/>
          <w:sz w:val="20"/>
          <w:szCs w:val="20"/>
        </w:rPr>
        <w:t xml:space="preserve">05). As duas barras com NS, * ou *** no topo não são significativamente diferentes ou são significativamente diferentes para </w:t>
      </w:r>
      <w:proofErr w:type="gramStart"/>
      <w:r w:rsidRPr="006C2067">
        <w:rPr>
          <w:i w:val="0"/>
          <w:color w:val="auto"/>
          <w:sz w:val="20"/>
          <w:szCs w:val="20"/>
        </w:rPr>
        <w:t>P&lt;0.</w:t>
      </w:r>
      <w:proofErr w:type="gramEnd"/>
      <w:r w:rsidRPr="006C2067">
        <w:rPr>
          <w:i w:val="0"/>
          <w:color w:val="auto"/>
          <w:sz w:val="20"/>
          <w:szCs w:val="20"/>
        </w:rPr>
        <w:t>05 ou P &lt;0.01</w:t>
      </w:r>
      <w:r w:rsidRPr="006C2067">
        <w:rPr>
          <w:i w:val="0"/>
          <w:color w:val="auto"/>
        </w:rPr>
        <w:t>.</w:t>
      </w:r>
      <w:bookmarkEnd w:id="322"/>
    </w:p>
    <w:p w14:paraId="33A4117E" w14:textId="77777777" w:rsidR="00874CB0" w:rsidRDefault="00874CB0" w:rsidP="00874CB0">
      <w:pPr>
        <w:pStyle w:val="Legenda"/>
      </w:pPr>
    </w:p>
    <w:p w14:paraId="383FF042" w14:textId="1BDBF205" w:rsidR="00D17D64" w:rsidRDefault="00D17D64" w:rsidP="00D17D64"/>
    <w:p w14:paraId="5FE057BF" w14:textId="77777777" w:rsidR="004F47F5" w:rsidRPr="00D17D64" w:rsidRDefault="004F47F5" w:rsidP="00D17D64"/>
    <w:p w14:paraId="07F0D385" w14:textId="4FB58C52" w:rsidR="00874CB0" w:rsidRPr="00874CB0" w:rsidRDefault="00874CB0" w:rsidP="00874CB0">
      <w:pPr>
        <w:pStyle w:val="Cabealho3"/>
        <w:rPr>
          <w:rFonts w:ascii="Times New Roman" w:hAnsi="Times New Roman" w:cs="Times New Roman"/>
          <w:color w:val="auto"/>
        </w:rPr>
      </w:pPr>
      <w:bookmarkStart w:id="323" w:name="_Toc462709799"/>
      <w:bookmarkStart w:id="324" w:name="_Toc479154875"/>
      <w:r w:rsidRPr="00874CB0">
        <w:rPr>
          <w:rFonts w:ascii="Times New Roman" w:hAnsi="Times New Roman" w:cs="Times New Roman"/>
          <w:color w:val="auto"/>
        </w:rPr>
        <w:lastRenderedPageBreak/>
        <w:t>3.1.6</w:t>
      </w:r>
      <w:r w:rsidR="00CB65C5">
        <w:rPr>
          <w:rFonts w:ascii="Times New Roman" w:hAnsi="Times New Roman" w:cs="Times New Roman"/>
          <w:color w:val="auto"/>
        </w:rPr>
        <w:t xml:space="preserve"> </w:t>
      </w:r>
      <w:bookmarkEnd w:id="323"/>
      <w:r w:rsidR="0010715E" w:rsidRPr="00D0590E">
        <w:rPr>
          <w:rFonts w:ascii="Times New Roman" w:hAnsi="Times New Roman" w:cs="Times New Roman"/>
          <w:color w:val="auto"/>
        </w:rPr>
        <w:t>Ácidos orgânicos</w:t>
      </w:r>
      <w:bookmarkEnd w:id="324"/>
    </w:p>
    <w:p w14:paraId="3CEF49FE" w14:textId="77777777" w:rsidR="00874CB0" w:rsidRPr="00874CB0" w:rsidRDefault="00874CB0" w:rsidP="00874CB0"/>
    <w:p w14:paraId="42F66359" w14:textId="4B21C6FA" w:rsidR="00874CB0" w:rsidRDefault="0010715E"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 xml:space="preserve">O HPLC </w:t>
      </w:r>
      <w:r w:rsidR="00874CB0" w:rsidRPr="00874CB0">
        <w:rPr>
          <w:rFonts w:eastAsiaTheme="minorHAnsi"/>
          <w:color w:val="auto"/>
          <w:szCs w:val="24"/>
          <w:lang w:eastAsia="en-US"/>
        </w:rPr>
        <w:t xml:space="preserve">permite </w:t>
      </w:r>
      <w:r w:rsidR="0093106A">
        <w:rPr>
          <w:rFonts w:eastAsiaTheme="minorHAnsi"/>
          <w:color w:val="auto"/>
          <w:szCs w:val="24"/>
          <w:lang w:eastAsia="en-US"/>
        </w:rPr>
        <w:t xml:space="preserve">a </w:t>
      </w:r>
      <w:r w:rsidR="0057093F">
        <w:rPr>
          <w:rFonts w:eastAsiaTheme="minorHAnsi"/>
          <w:color w:val="auto"/>
          <w:szCs w:val="24"/>
          <w:lang w:eastAsia="en-US"/>
        </w:rPr>
        <w:t xml:space="preserve">separação, identificação e </w:t>
      </w:r>
      <w:r w:rsidR="0093106A">
        <w:rPr>
          <w:rFonts w:eastAsiaTheme="minorHAnsi"/>
          <w:color w:val="auto"/>
          <w:szCs w:val="24"/>
          <w:lang w:eastAsia="en-US"/>
        </w:rPr>
        <w:t>quantificação de fármacos</w:t>
      </w:r>
      <w:r w:rsidR="00874CB0" w:rsidRPr="00874CB0">
        <w:rPr>
          <w:rFonts w:eastAsiaTheme="minorHAnsi"/>
          <w:color w:val="auto"/>
          <w:szCs w:val="24"/>
          <w:lang w:eastAsia="en-US"/>
        </w:rPr>
        <w:t xml:space="preserve"> e </w:t>
      </w:r>
      <w:r w:rsidR="0057093F">
        <w:rPr>
          <w:rFonts w:eastAsiaTheme="minorHAnsi"/>
          <w:color w:val="auto"/>
          <w:szCs w:val="24"/>
          <w:lang w:eastAsia="en-US"/>
        </w:rPr>
        <w:t>produtos naturais</w:t>
      </w:r>
      <w:r w:rsidR="00874CB0" w:rsidRPr="00874CB0">
        <w:rPr>
          <w:rFonts w:eastAsiaTheme="minorHAnsi"/>
          <w:color w:val="auto"/>
          <w:szCs w:val="24"/>
          <w:lang w:eastAsia="en-US"/>
        </w:rPr>
        <w:t xml:space="preserve"> </w:t>
      </w:r>
      <w:r w:rsidR="00874CB0" w:rsidRPr="00874CB0">
        <w:rPr>
          <w:rFonts w:eastAsiaTheme="minorHAnsi"/>
          <w:color w:val="auto"/>
          <w:szCs w:val="24"/>
          <w:lang w:eastAsia="en-US"/>
        </w:rPr>
        <w:fldChar w:fldCharType="begin" w:fldLock="1"/>
      </w:r>
      <w:r w:rsidR="00363D0D">
        <w:rPr>
          <w:rFonts w:eastAsiaTheme="minorHAnsi"/>
          <w:color w:val="auto"/>
          <w:szCs w:val="24"/>
          <w:lang w:eastAsia="en-US"/>
        </w:rPr>
        <w:instrText>ADDIN CSL_CITATION { "citationItems" : [ { "id" : "ITEM-1", "itemData" : { "ISSN" : "1945-239X", "PMID" : "20223082", "abstract" : "This paper describes the development and validation of a simple analytical method using solid-phase extraction followed by a high-performance liquid chromatography with diode array detection (HPLC-DAD) analysis. Target compounds included six pharmaceuticals (carbamazepine, diazepam, fluoxetine, propranolol, sulfamethoxazole, and trimethoprim) and the active metabolite of fenofibrate (fenofibric acid). Briefly, this method consisted of the preconcentration of water samples (2 L) on 500 mg Oasis HLB cartridges and HPLC analysis using a RP-(18) analytical column in a gradient mode with a flow rate of 1 mL/min. The validation parameters revealed that this method was highly specific for all assayed compounds (&gt; 99%), and the linearity of the calibration curves always showed a correlation higher than 0.99. The detection limits were in the ng/L level, and recovery rates were &gt; 70% for most of the target compounds. Analysis of samples from polluted areas of the Douro River estuary indicated that propranolol and carbamazepine are present in concentrations ranging from 22.0 to 54.0 ng/L and 21.3 to 32.7 ng/L, respectively. Thus, it is concluded that this method can be successfully applied for screening pharmaceuticals in polluted estuarine areas.", "author" : [ { "dropping-particle" : "", "family" : "Madureira", "given" : "T\u00e2nia Vieira", "non-dropping-particle" : "", "parse-names" : false, "suffix" : "" }, { "dropping-particle" : "", "family" : "Rocha", "given" : "Maria Jo\u00e3o", "non-dropping-particle" : "", "parse-names" : false, "suffix" : "" }, { "dropping-particle" : "", "family" : "Cass", "given" : "Quezia Bezerra", "non-dropping-particle" : "", "parse-names" : false, "suffix" : "" }, { "dropping-particle" : "", "family" : "Tiritan", "given" : "Maria Elizabeth", "non-dropping-particle" : "", "parse-names" : false, "suffix" : "" } ], "container-title" : "Journal of chromatographic science", "id" : "ITEM-1", "issued" : { "date-parts" : [ [ "2010" ] ] }, "page" : "176-182", "title" : "Development and optimization of a HPLC-DAD method for the determination of diverse pharmaceuticals in estuarine surface waters.", "type" : "article-journal", "volume" : "48" }, "uris" : [ "http://www.mendeley.com/documents/?uuid=87b8ff9c-3ac2-465e-8cde-1da7a0239e26" ] } ], "mendeley" : { "formattedCitation" : "(Madureira, Rocha, Cass, &amp; Tiritan, 2010)", "manualFormatting" : "(Madureira et al., 2010)", "plainTextFormattedCitation" : "(Madureira, Rocha, Cass, &amp; Tiritan, 2010)", "previouslyFormattedCitation" : "(Madureira, Rocha, Cass, &amp; Tiritan, 2010)" }, "properties" : { "noteIndex" : 0 }, "schema" : "https://github.com/citation-style-language/schema/raw/master/csl-citation.json" }</w:instrText>
      </w:r>
      <w:r w:rsidR="00874CB0" w:rsidRPr="00874CB0">
        <w:rPr>
          <w:rFonts w:eastAsiaTheme="minorHAnsi"/>
          <w:color w:val="auto"/>
          <w:szCs w:val="24"/>
          <w:lang w:eastAsia="en-US"/>
        </w:rPr>
        <w:fldChar w:fldCharType="separate"/>
      </w:r>
      <w:r w:rsidR="00874CB0" w:rsidRPr="00874CB0">
        <w:rPr>
          <w:rFonts w:eastAsiaTheme="minorHAnsi"/>
          <w:noProof/>
          <w:color w:val="auto"/>
          <w:szCs w:val="24"/>
          <w:lang w:eastAsia="en-US"/>
        </w:rPr>
        <w:t>(Madur</w:t>
      </w:r>
      <w:r w:rsidR="0093106A">
        <w:rPr>
          <w:rFonts w:eastAsiaTheme="minorHAnsi"/>
          <w:noProof/>
          <w:color w:val="auto"/>
          <w:szCs w:val="24"/>
          <w:lang w:eastAsia="en-US"/>
        </w:rPr>
        <w:t>eira et al.,</w:t>
      </w:r>
      <w:r w:rsidR="00874CB0" w:rsidRPr="00874CB0">
        <w:rPr>
          <w:rFonts w:eastAsiaTheme="minorHAnsi"/>
          <w:noProof/>
          <w:color w:val="auto"/>
          <w:szCs w:val="24"/>
          <w:lang w:eastAsia="en-US"/>
        </w:rPr>
        <w:t xml:space="preserve"> 2010)</w:t>
      </w:r>
      <w:r w:rsidR="00874CB0" w:rsidRPr="00874CB0">
        <w:rPr>
          <w:rFonts w:eastAsiaTheme="minorHAnsi"/>
          <w:color w:val="auto"/>
          <w:szCs w:val="24"/>
          <w:lang w:eastAsia="en-US"/>
        </w:rPr>
        <w:fldChar w:fldCharType="end"/>
      </w:r>
      <w:r w:rsidR="00874CB0" w:rsidRPr="00874CB0">
        <w:rPr>
          <w:rFonts w:eastAsiaTheme="minorHAnsi"/>
          <w:color w:val="auto"/>
          <w:szCs w:val="24"/>
          <w:lang w:eastAsia="en-US"/>
        </w:rPr>
        <w:t>.</w:t>
      </w:r>
    </w:p>
    <w:p w14:paraId="2F91E1C4" w14:textId="6D3BF05D" w:rsidR="000B7EBA" w:rsidRDefault="000B7EBA"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A</w:t>
      </w:r>
      <w:r w:rsidR="00E3698F">
        <w:rPr>
          <w:rFonts w:eastAsiaTheme="minorHAnsi"/>
          <w:color w:val="auto"/>
          <w:szCs w:val="24"/>
          <w:lang w:eastAsia="en-US"/>
        </w:rPr>
        <w:t>través da leitura do gráfico da F</w:t>
      </w:r>
      <w:r>
        <w:rPr>
          <w:rFonts w:eastAsiaTheme="minorHAnsi"/>
          <w:color w:val="auto"/>
          <w:szCs w:val="24"/>
          <w:lang w:eastAsia="en-US"/>
        </w:rPr>
        <w:t>igura 28 é possível afirmar que o figo da índia é composto por diversos ácidos orgânicos.</w:t>
      </w:r>
    </w:p>
    <w:p w14:paraId="47352B61" w14:textId="61BD840D" w:rsidR="000B7EBA" w:rsidRDefault="00DF5E13"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N</w:t>
      </w:r>
      <w:r w:rsidR="0057093F">
        <w:rPr>
          <w:rFonts w:eastAsiaTheme="minorHAnsi"/>
          <w:color w:val="auto"/>
          <w:szCs w:val="24"/>
          <w:lang w:eastAsia="en-US"/>
        </w:rPr>
        <w:t>a casca existem vários ácidos com</w:t>
      </w:r>
      <w:r>
        <w:rPr>
          <w:rFonts w:eastAsiaTheme="minorHAnsi"/>
          <w:color w:val="auto"/>
          <w:szCs w:val="24"/>
          <w:lang w:eastAsia="en-US"/>
        </w:rPr>
        <w:t xml:space="preserve"> maior inc</w:t>
      </w:r>
      <w:r w:rsidR="0057093F">
        <w:rPr>
          <w:rFonts w:eastAsiaTheme="minorHAnsi"/>
          <w:color w:val="auto"/>
          <w:szCs w:val="24"/>
          <w:lang w:eastAsia="en-US"/>
        </w:rPr>
        <w:t>idência no ácido málico seguido</w:t>
      </w:r>
      <w:r>
        <w:rPr>
          <w:rFonts w:eastAsiaTheme="minorHAnsi"/>
          <w:color w:val="auto"/>
          <w:szCs w:val="24"/>
          <w:lang w:eastAsia="en-US"/>
        </w:rPr>
        <w:t xml:space="preserve"> o ácido propiónico, pirúvico, tartárico,</w:t>
      </w:r>
      <w:r w:rsidR="00FF2560">
        <w:rPr>
          <w:rFonts w:eastAsiaTheme="minorHAnsi"/>
          <w:color w:val="auto"/>
          <w:szCs w:val="24"/>
          <w:lang w:eastAsia="en-US"/>
        </w:rPr>
        <w:t xml:space="preserve"> glutárico</w:t>
      </w:r>
      <w:r>
        <w:rPr>
          <w:rFonts w:eastAsiaTheme="minorHAnsi"/>
          <w:color w:val="auto"/>
          <w:szCs w:val="24"/>
          <w:lang w:eastAsia="en-US"/>
        </w:rPr>
        <w:t xml:space="preserve"> e por fim sucínico.</w:t>
      </w:r>
    </w:p>
    <w:p w14:paraId="39A629EF" w14:textId="64463E75" w:rsidR="00DF5E13" w:rsidRDefault="00FF2560"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Relativamente à</w:t>
      </w:r>
      <w:r w:rsidR="00DF5E13">
        <w:rPr>
          <w:rFonts w:eastAsiaTheme="minorHAnsi"/>
          <w:color w:val="auto"/>
          <w:szCs w:val="24"/>
          <w:lang w:eastAsia="en-US"/>
        </w:rPr>
        <w:t xml:space="preserve"> polpa, os mesmos ácidos foram encontrados, mas em concentrações diferentes, sendo a maior pertencente ao ácido propiónico</w:t>
      </w:r>
      <w:r>
        <w:rPr>
          <w:rFonts w:eastAsiaTheme="minorHAnsi"/>
          <w:color w:val="auto"/>
          <w:szCs w:val="24"/>
          <w:lang w:eastAsia="en-US"/>
        </w:rPr>
        <w:t xml:space="preserve"> depois </w:t>
      </w:r>
      <w:r w:rsidR="00DF5E13">
        <w:rPr>
          <w:rFonts w:eastAsiaTheme="minorHAnsi"/>
          <w:color w:val="auto"/>
          <w:szCs w:val="24"/>
          <w:lang w:eastAsia="en-US"/>
        </w:rPr>
        <w:t>o ácido</w:t>
      </w:r>
      <w:r>
        <w:rPr>
          <w:rFonts w:eastAsiaTheme="minorHAnsi"/>
          <w:color w:val="auto"/>
          <w:szCs w:val="24"/>
          <w:lang w:eastAsia="en-US"/>
        </w:rPr>
        <w:t xml:space="preserve"> málico, pirúvico, tartárico e por </w:t>
      </w:r>
      <w:r w:rsidR="00245365">
        <w:rPr>
          <w:rFonts w:eastAsiaTheme="minorHAnsi"/>
          <w:color w:val="auto"/>
          <w:szCs w:val="24"/>
          <w:lang w:eastAsia="en-US"/>
        </w:rPr>
        <w:t>último</w:t>
      </w:r>
      <w:r>
        <w:rPr>
          <w:rFonts w:eastAsiaTheme="minorHAnsi"/>
          <w:color w:val="auto"/>
          <w:szCs w:val="24"/>
          <w:lang w:eastAsia="en-US"/>
        </w:rPr>
        <w:t xml:space="preserve"> o ácido glutárico.</w:t>
      </w:r>
    </w:p>
    <w:p w14:paraId="357903F1" w14:textId="32D78FD4" w:rsidR="00FF2560" w:rsidRDefault="00FF2560"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Estes ácidos não foram detetados em todos os ecótipos/cultivares</w:t>
      </w:r>
      <w:r w:rsidR="0000378A">
        <w:rPr>
          <w:rFonts w:eastAsiaTheme="minorHAnsi"/>
          <w:color w:val="auto"/>
          <w:szCs w:val="24"/>
          <w:lang w:eastAsia="en-US"/>
        </w:rPr>
        <w:t>.</w:t>
      </w:r>
    </w:p>
    <w:p w14:paraId="12B58AAA" w14:textId="2CE0E5F9" w:rsidR="0000378A" w:rsidRDefault="0000378A"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No ecótipo ‘laranja’, os ácidos presentes na casca foi ácido málico (</w:t>
      </w:r>
      <w:r w:rsidRPr="00874CB0">
        <w:rPr>
          <w:rFonts w:eastAsiaTheme="minorHAnsi"/>
          <w:color w:val="auto"/>
          <w:szCs w:val="24"/>
          <w:lang w:eastAsia="en-US"/>
        </w:rPr>
        <w:t>47.59 ± 29.06 mg/ml</w:t>
      </w:r>
      <w:r>
        <w:rPr>
          <w:rFonts w:eastAsiaTheme="minorHAnsi"/>
          <w:color w:val="auto"/>
          <w:szCs w:val="24"/>
          <w:lang w:eastAsia="en-US"/>
        </w:rPr>
        <w:t>), ácido pirúvico (</w:t>
      </w:r>
      <w:r w:rsidRPr="00874CB0">
        <w:rPr>
          <w:rFonts w:eastAsiaTheme="minorHAnsi"/>
          <w:color w:val="auto"/>
          <w:szCs w:val="24"/>
          <w:lang w:eastAsia="en-US"/>
        </w:rPr>
        <w:t>2.49 mg/ml)</w:t>
      </w:r>
      <w:r>
        <w:rPr>
          <w:rFonts w:eastAsiaTheme="minorHAnsi"/>
          <w:color w:val="auto"/>
          <w:szCs w:val="24"/>
          <w:lang w:eastAsia="en-US"/>
        </w:rPr>
        <w:t xml:space="preserve"> e em menor quantidade o ácido glutárico (0.46 ± 0.05 mg/ml). Na polpa foram detetados os </w:t>
      </w:r>
      <w:r w:rsidR="00E06939">
        <w:rPr>
          <w:rFonts w:eastAsiaTheme="minorHAnsi"/>
          <w:color w:val="auto"/>
          <w:szCs w:val="24"/>
          <w:lang w:eastAsia="en-US"/>
        </w:rPr>
        <w:t>mesmos ácidos</w:t>
      </w:r>
      <w:r>
        <w:rPr>
          <w:rFonts w:eastAsiaTheme="minorHAnsi"/>
          <w:color w:val="auto"/>
          <w:szCs w:val="24"/>
          <w:lang w:eastAsia="en-US"/>
        </w:rPr>
        <w:t>.</w:t>
      </w:r>
      <w:r w:rsidR="006369FA">
        <w:rPr>
          <w:rFonts w:eastAsiaTheme="minorHAnsi"/>
          <w:color w:val="auto"/>
          <w:szCs w:val="24"/>
          <w:lang w:eastAsia="en-US"/>
        </w:rPr>
        <w:t xml:space="preserve"> Os</w:t>
      </w:r>
      <w:r w:rsidR="006369FA" w:rsidRPr="00874CB0">
        <w:rPr>
          <w:rFonts w:eastAsiaTheme="minorHAnsi"/>
          <w:color w:val="auto"/>
          <w:szCs w:val="24"/>
          <w:lang w:eastAsia="en-US"/>
        </w:rPr>
        <w:t xml:space="preserve"> valores</w:t>
      </w:r>
      <w:r w:rsidR="006369FA">
        <w:rPr>
          <w:rFonts w:eastAsiaTheme="minorHAnsi"/>
          <w:color w:val="auto"/>
          <w:szCs w:val="24"/>
          <w:lang w:eastAsia="en-US"/>
        </w:rPr>
        <w:t xml:space="preserve"> do ácido málico</w:t>
      </w:r>
      <w:r w:rsidR="006369FA" w:rsidRPr="00874CB0">
        <w:rPr>
          <w:rFonts w:eastAsiaTheme="minorHAnsi"/>
          <w:color w:val="auto"/>
          <w:szCs w:val="24"/>
          <w:lang w:eastAsia="en-US"/>
        </w:rPr>
        <w:t xml:space="preserve"> foram </w:t>
      </w:r>
      <w:r w:rsidR="00245365">
        <w:rPr>
          <w:rFonts w:eastAsiaTheme="minorHAnsi"/>
          <w:color w:val="auto"/>
          <w:szCs w:val="24"/>
          <w:lang w:eastAsia="en-US"/>
        </w:rPr>
        <w:t>superiores aos</w:t>
      </w:r>
      <w:r w:rsidR="006369FA" w:rsidRPr="00874CB0">
        <w:rPr>
          <w:rFonts w:eastAsiaTheme="minorHAnsi"/>
          <w:color w:val="auto"/>
          <w:szCs w:val="24"/>
          <w:lang w:eastAsia="en-US"/>
        </w:rPr>
        <w:t xml:space="preserve"> </w:t>
      </w:r>
      <w:r w:rsidR="006369FA">
        <w:rPr>
          <w:rFonts w:eastAsiaTheme="minorHAnsi"/>
          <w:color w:val="auto"/>
          <w:szCs w:val="24"/>
          <w:lang w:eastAsia="en-US"/>
        </w:rPr>
        <w:t xml:space="preserve">3.07 mg/ml </w:t>
      </w:r>
      <w:r w:rsidR="006369FA" w:rsidRPr="00874CB0">
        <w:rPr>
          <w:rFonts w:eastAsiaTheme="minorHAnsi"/>
          <w:color w:val="auto"/>
          <w:szCs w:val="24"/>
          <w:lang w:eastAsia="en-US"/>
        </w:rPr>
        <w:t xml:space="preserve">referidos por </w:t>
      </w:r>
      <w:r w:rsidR="006369FA" w:rsidRPr="00874CB0">
        <w:rPr>
          <w:rFonts w:eastAsiaTheme="minorHAnsi"/>
          <w:color w:val="auto"/>
          <w:szCs w:val="24"/>
          <w:lang w:eastAsia="en-US"/>
        </w:rPr>
        <w:fldChar w:fldCharType="begin" w:fldLock="1"/>
      </w:r>
      <w:r w:rsidR="00D73AD0">
        <w:rPr>
          <w:rFonts w:eastAsiaTheme="minorHAnsi"/>
          <w:color w:val="auto"/>
          <w:szCs w:val="24"/>
          <w:lang w:eastAsia="en-US"/>
        </w:rPr>
        <w:instrText>ADDIN CSL_CITATION { "citationItems" : [ { "id" : "ITEM-1", "itemData" : { "author" : [ { "dropping-particle" : "", "family" : "Feitosa", "given" : "F. F.", "non-dropping-particle" : "", "parse-names" : false, "suffix" : "" }, { "dropping-particle" : "", "family" : "Stull", "given" : "J. Warren", "non-dropping-particle" : "", "parse-names" : false, "suffix" : "" }, { "dropping-particle" : "", "family" : "Brown", "given" : "William H.", "non-dropping-particle" : "", "parse-names" : false, "suffix" : "" }, { "dropping-particle" : "", "family" : "Whiting", "given" : "Frank M.", "non-dropping-particle" : "", "parse-names" : false, "suffix" : "" } ], "container-title" : "Journal of Science food and Agriculture", "id" : "ITEM-1", "issue" : "4", "issued" : { "date-parts" : [ [ "1984" ] ] }, "page" : "421-425", "title" : "Amino and organic acid of the prickly pear cactus (Opuntia ficus indica L.)", "type" : "article-journal", "volume" : "35" }, "uris" : [ "http://www.mendeley.com/documents/?uuid=951c26b4-9e21-4145-97f1-bba23a8fc0d3" ] }, { "id" : "ITEM-2", "itemData" : { "author" : [ { "dropping-particle" : "", "family" : "Teles", "given" : "F. F. Feitosa", "non-dropping-particle" : "", "parse-names" : false, "suffix" : "" }, { "dropping-particle" : "", "family" : "Price", "given" : "R. L.", "non-dropping-particle" : "", "parse-names" : false, "suffix" : "" }, { "dropping-particle" : "", "family" : "Frank Whiting", "given" : "", "non-dropping-particle" : "", "parse-names" : false, "suffix" : "" }, { "dropping-particle" : "", "family" : "Reid", "given" : "B. L.", "non-dropping-particle" : "", "parse-names" : false, "suffix" : "" } ], "container-title" : "Revista Ceres", "id" : "ITEM-2", "issue" : "238", "issued" : { "date-parts" : [ [ "1994" ] ] }, "page" : "614-622", "title" : "Circadian variation of non-volatile organic acids in the prickly pear (opuntia ficus indica L.)", "type" : "article-journal", "volume" : "61" }, "uris" : [ "http://www.mendeley.com/documents/?uuid=ecf3c1b2-1965-47a5-aeeb-dc97eae34a52" ] } ], "mendeley" : { "formattedCitation" : "(Feitosa, Stull, Brown, &amp; Whiting, 1984; Teles, Price, Frank Whiting, &amp; Reid, 1994)", "manualFormatting" : "Feitosa et al., (1984)", "plainTextFormattedCitation" : "(Feitosa, Stull, Brown, &amp; Whiting, 1984; Teles, Price, Frank Whiting, &amp; Reid, 1994)", "previouslyFormattedCitation" : "(Feitosa, Stull, Brown, &amp; Whiting, 1984; Teles, Price, Frank Whiting, &amp; Reid, 1994)" }, "properties" : { "noteIndex" : 0 }, "schema" : "https://github.com/citation-style-language/schema/raw/master/csl-citation.json" }</w:instrText>
      </w:r>
      <w:r w:rsidR="006369FA" w:rsidRPr="00874CB0">
        <w:rPr>
          <w:rFonts w:eastAsiaTheme="minorHAnsi"/>
          <w:color w:val="auto"/>
          <w:szCs w:val="24"/>
          <w:lang w:eastAsia="en-US"/>
        </w:rPr>
        <w:fldChar w:fldCharType="separate"/>
      </w:r>
      <w:r w:rsidR="006369FA">
        <w:rPr>
          <w:rFonts w:eastAsiaTheme="minorHAnsi"/>
          <w:noProof/>
          <w:color w:val="auto"/>
          <w:szCs w:val="24"/>
          <w:lang w:eastAsia="en-US"/>
        </w:rPr>
        <w:t>Feitosa et al.,</w:t>
      </w:r>
      <w:r w:rsidR="006369FA" w:rsidRPr="00874CB0">
        <w:rPr>
          <w:rFonts w:eastAsiaTheme="minorHAnsi"/>
          <w:noProof/>
          <w:color w:val="auto"/>
          <w:szCs w:val="24"/>
          <w:lang w:eastAsia="en-US"/>
        </w:rPr>
        <w:t xml:space="preserve"> (1984)</w:t>
      </w:r>
      <w:r w:rsidR="006369FA" w:rsidRPr="00874CB0">
        <w:rPr>
          <w:rFonts w:eastAsiaTheme="minorHAnsi"/>
          <w:color w:val="auto"/>
          <w:szCs w:val="24"/>
          <w:lang w:eastAsia="en-US"/>
        </w:rPr>
        <w:fldChar w:fldCharType="end"/>
      </w:r>
      <w:r w:rsidR="006369FA">
        <w:rPr>
          <w:rFonts w:eastAsiaTheme="minorHAnsi"/>
          <w:color w:val="auto"/>
          <w:szCs w:val="24"/>
          <w:lang w:eastAsia="en-US"/>
        </w:rPr>
        <w:t xml:space="preserve">. </w:t>
      </w:r>
    </w:p>
    <w:p w14:paraId="16B50520" w14:textId="54528DC7" w:rsidR="006369FA" w:rsidRDefault="006369FA"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Para o ecótipo ‘verde’</w:t>
      </w:r>
      <w:r w:rsidR="002A6AF3">
        <w:rPr>
          <w:rFonts w:eastAsiaTheme="minorHAnsi"/>
          <w:color w:val="auto"/>
          <w:szCs w:val="24"/>
          <w:lang w:eastAsia="en-US"/>
        </w:rPr>
        <w:t>, o ácido detetado</w:t>
      </w:r>
      <w:r w:rsidR="00245365">
        <w:rPr>
          <w:rFonts w:eastAsiaTheme="minorHAnsi"/>
          <w:color w:val="auto"/>
          <w:szCs w:val="24"/>
          <w:lang w:eastAsia="en-US"/>
        </w:rPr>
        <w:t xml:space="preserve"> em </w:t>
      </w:r>
      <w:proofErr w:type="gramStart"/>
      <w:r w:rsidR="00245365">
        <w:rPr>
          <w:rFonts w:eastAsiaTheme="minorHAnsi"/>
          <w:color w:val="auto"/>
          <w:szCs w:val="24"/>
          <w:lang w:eastAsia="en-US"/>
        </w:rPr>
        <w:t>maior quantidade</w:t>
      </w:r>
      <w:r w:rsidR="002A6AF3">
        <w:rPr>
          <w:rFonts w:eastAsiaTheme="minorHAnsi"/>
          <w:color w:val="auto"/>
          <w:szCs w:val="24"/>
          <w:lang w:eastAsia="en-US"/>
        </w:rPr>
        <w:t xml:space="preserve"> na casca fo</w:t>
      </w:r>
      <w:r w:rsidR="002956A4">
        <w:rPr>
          <w:rFonts w:eastAsiaTheme="minorHAnsi"/>
          <w:color w:val="auto"/>
          <w:szCs w:val="24"/>
          <w:lang w:eastAsia="en-US"/>
        </w:rPr>
        <w:t>i o</w:t>
      </w:r>
      <w:r w:rsidR="002A6AF3">
        <w:rPr>
          <w:rFonts w:eastAsiaTheme="minorHAnsi"/>
          <w:color w:val="auto"/>
          <w:szCs w:val="24"/>
          <w:lang w:eastAsia="en-US"/>
        </w:rPr>
        <w:t xml:space="preserve"> ácido málico </w:t>
      </w:r>
      <w:r w:rsidR="002956A4">
        <w:rPr>
          <w:rFonts w:eastAsiaTheme="minorHAnsi"/>
          <w:color w:val="auto"/>
          <w:szCs w:val="24"/>
          <w:lang w:eastAsia="en-US"/>
        </w:rPr>
        <w:t xml:space="preserve">(8.46 mg/ml), </w:t>
      </w:r>
      <w:r w:rsidR="00245365">
        <w:rPr>
          <w:rFonts w:eastAsiaTheme="minorHAnsi"/>
          <w:color w:val="auto"/>
          <w:szCs w:val="24"/>
          <w:lang w:eastAsia="en-US"/>
        </w:rPr>
        <w:t>seguiram</w:t>
      </w:r>
      <w:proofErr w:type="gramEnd"/>
      <w:r w:rsidR="00245365">
        <w:rPr>
          <w:rFonts w:eastAsiaTheme="minorHAnsi"/>
          <w:color w:val="auto"/>
          <w:szCs w:val="24"/>
          <w:lang w:eastAsia="en-US"/>
        </w:rPr>
        <w:t xml:space="preserve">-se </w:t>
      </w:r>
      <w:r w:rsidR="002956A4">
        <w:rPr>
          <w:rFonts w:eastAsiaTheme="minorHAnsi"/>
          <w:color w:val="auto"/>
          <w:szCs w:val="24"/>
          <w:lang w:eastAsia="en-US"/>
        </w:rPr>
        <w:t xml:space="preserve">o ácido glutárico com </w:t>
      </w:r>
      <w:r w:rsidR="002956A4" w:rsidRPr="00874CB0">
        <w:rPr>
          <w:rFonts w:eastAsiaTheme="minorHAnsi"/>
          <w:color w:val="auto"/>
          <w:szCs w:val="24"/>
          <w:lang w:eastAsia="en-US"/>
        </w:rPr>
        <w:t>0.19 ± 0</w:t>
      </w:r>
      <w:r w:rsidR="002956A4">
        <w:rPr>
          <w:rFonts w:eastAsiaTheme="minorHAnsi"/>
          <w:color w:val="auto"/>
          <w:szCs w:val="24"/>
          <w:lang w:eastAsia="en-US"/>
        </w:rPr>
        <w:t>.029 mg/ml e o ácido sucínico com 0.03 mg/ml. Para a polpa verific</w:t>
      </w:r>
      <w:r w:rsidR="00245365">
        <w:rPr>
          <w:rFonts w:eastAsiaTheme="minorHAnsi"/>
          <w:color w:val="auto"/>
          <w:szCs w:val="24"/>
          <w:lang w:eastAsia="en-US"/>
        </w:rPr>
        <w:t>aram</w:t>
      </w:r>
      <w:r w:rsidR="002956A4">
        <w:rPr>
          <w:rFonts w:eastAsiaTheme="minorHAnsi"/>
          <w:color w:val="auto"/>
          <w:szCs w:val="24"/>
          <w:lang w:eastAsia="en-US"/>
        </w:rPr>
        <w:t xml:space="preserve">-se diferenças, </w:t>
      </w:r>
      <w:r w:rsidR="00245365">
        <w:rPr>
          <w:rFonts w:eastAsiaTheme="minorHAnsi"/>
          <w:color w:val="auto"/>
          <w:szCs w:val="24"/>
          <w:lang w:eastAsia="en-US"/>
        </w:rPr>
        <w:t xml:space="preserve">sendo </w:t>
      </w:r>
      <w:r w:rsidR="002956A4">
        <w:rPr>
          <w:rFonts w:eastAsiaTheme="minorHAnsi"/>
          <w:color w:val="auto"/>
          <w:szCs w:val="24"/>
          <w:lang w:eastAsia="en-US"/>
        </w:rPr>
        <w:t>apenas detetados o ácido tartárico (1.53 ± 0.15</w:t>
      </w:r>
      <w:r w:rsidR="002956A4" w:rsidRPr="00874CB0">
        <w:rPr>
          <w:rFonts w:eastAsiaTheme="minorHAnsi"/>
          <w:color w:val="auto"/>
          <w:szCs w:val="24"/>
          <w:lang w:eastAsia="en-US"/>
        </w:rPr>
        <w:t xml:space="preserve"> mg/ml</w:t>
      </w:r>
      <w:r w:rsidR="002956A4">
        <w:rPr>
          <w:rFonts w:eastAsiaTheme="minorHAnsi"/>
          <w:color w:val="auto"/>
          <w:szCs w:val="24"/>
          <w:lang w:eastAsia="en-US"/>
        </w:rPr>
        <w:t>) e o ácido málico (0.67 mg/ml).</w:t>
      </w:r>
    </w:p>
    <w:p w14:paraId="191F673B" w14:textId="1A88726F" w:rsidR="002956A4" w:rsidRDefault="002956A4"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 xml:space="preserve">Seguindo para a cultivar ‘Rosso’, na parte da casca, detetou-se o ácido propiónico </w:t>
      </w:r>
      <w:r w:rsidR="0057093F">
        <w:rPr>
          <w:rFonts w:eastAsiaTheme="minorHAnsi"/>
          <w:color w:val="auto"/>
          <w:szCs w:val="24"/>
          <w:lang w:eastAsia="en-US"/>
        </w:rPr>
        <w:t>(</w:t>
      </w:r>
      <w:r>
        <w:rPr>
          <w:rFonts w:eastAsiaTheme="minorHAnsi"/>
          <w:color w:val="auto"/>
          <w:szCs w:val="24"/>
          <w:lang w:eastAsia="en-US"/>
        </w:rPr>
        <w:t>3.05 ± 0.88</w:t>
      </w:r>
      <w:r w:rsidRPr="00874CB0">
        <w:rPr>
          <w:rFonts w:eastAsiaTheme="minorHAnsi"/>
          <w:color w:val="auto"/>
          <w:szCs w:val="24"/>
          <w:lang w:eastAsia="en-US"/>
        </w:rPr>
        <w:t xml:space="preserve"> mg/ml</w:t>
      </w:r>
      <w:r>
        <w:rPr>
          <w:rFonts w:eastAsiaTheme="minorHAnsi"/>
          <w:color w:val="auto"/>
          <w:szCs w:val="24"/>
          <w:lang w:eastAsia="en-US"/>
        </w:rPr>
        <w:t>), ácido tartárico (2.10 ± 0.32 mg/ml) e ácido pirúvico (0.20 ± 0.01</w:t>
      </w:r>
      <w:r w:rsidRPr="00874CB0">
        <w:rPr>
          <w:rFonts w:eastAsiaTheme="minorHAnsi"/>
          <w:color w:val="auto"/>
          <w:szCs w:val="24"/>
          <w:lang w:eastAsia="en-US"/>
        </w:rPr>
        <w:t xml:space="preserve"> mg/ml)</w:t>
      </w:r>
      <w:r>
        <w:rPr>
          <w:rFonts w:eastAsiaTheme="minorHAnsi"/>
          <w:color w:val="auto"/>
          <w:szCs w:val="24"/>
          <w:lang w:eastAsia="en-US"/>
        </w:rPr>
        <w:t xml:space="preserve">. </w:t>
      </w:r>
      <w:r w:rsidR="00221959">
        <w:rPr>
          <w:rFonts w:eastAsiaTheme="minorHAnsi"/>
          <w:color w:val="auto"/>
          <w:szCs w:val="24"/>
          <w:lang w:eastAsia="en-US"/>
        </w:rPr>
        <w:t xml:space="preserve">A </w:t>
      </w:r>
      <w:r>
        <w:rPr>
          <w:rFonts w:eastAsiaTheme="minorHAnsi"/>
          <w:color w:val="auto"/>
          <w:szCs w:val="24"/>
          <w:lang w:eastAsia="en-US"/>
        </w:rPr>
        <w:t xml:space="preserve">polpa, </w:t>
      </w:r>
      <w:r w:rsidR="00EB060A">
        <w:rPr>
          <w:rFonts w:eastAsiaTheme="minorHAnsi"/>
          <w:color w:val="auto"/>
          <w:szCs w:val="24"/>
          <w:lang w:eastAsia="en-US"/>
        </w:rPr>
        <w:t>apresentou</w:t>
      </w:r>
      <w:r w:rsidR="0063100E">
        <w:rPr>
          <w:rFonts w:eastAsiaTheme="minorHAnsi"/>
          <w:color w:val="auto"/>
          <w:szCs w:val="24"/>
          <w:lang w:eastAsia="en-US"/>
        </w:rPr>
        <w:t xml:space="preserve"> </w:t>
      </w:r>
      <w:r w:rsidR="00EB060A">
        <w:rPr>
          <w:rFonts w:eastAsiaTheme="minorHAnsi"/>
          <w:color w:val="auto"/>
          <w:szCs w:val="24"/>
          <w:lang w:eastAsia="en-US"/>
        </w:rPr>
        <w:t>a maior quantidade de ácido propiónico com 109,93</w:t>
      </w:r>
      <w:r w:rsidR="00EB060A" w:rsidRPr="00874CB0">
        <w:rPr>
          <w:rFonts w:eastAsiaTheme="minorHAnsi"/>
          <w:color w:val="auto"/>
          <w:szCs w:val="24"/>
          <w:lang w:eastAsia="en-US"/>
        </w:rPr>
        <w:t xml:space="preserve"> ± 37.2 mg/ml</w:t>
      </w:r>
      <w:r w:rsidR="006B0568">
        <w:rPr>
          <w:rFonts w:eastAsiaTheme="minorHAnsi"/>
          <w:color w:val="auto"/>
          <w:szCs w:val="24"/>
          <w:lang w:eastAsia="en-US"/>
        </w:rPr>
        <w:t xml:space="preserve">, </w:t>
      </w:r>
      <w:r w:rsidR="00EB060A">
        <w:rPr>
          <w:rFonts w:eastAsiaTheme="minorHAnsi"/>
          <w:color w:val="auto"/>
          <w:szCs w:val="24"/>
          <w:lang w:eastAsia="en-US"/>
        </w:rPr>
        <w:t xml:space="preserve">seguindo </w:t>
      </w:r>
      <w:r w:rsidR="006B0568">
        <w:rPr>
          <w:rFonts w:eastAsiaTheme="minorHAnsi"/>
          <w:color w:val="auto"/>
          <w:szCs w:val="24"/>
          <w:lang w:eastAsia="en-US"/>
        </w:rPr>
        <w:t>o ácido tartárico com 1.42 ± 0.13</w:t>
      </w:r>
      <w:r w:rsidR="006B0568" w:rsidRPr="00874CB0">
        <w:rPr>
          <w:rFonts w:eastAsiaTheme="minorHAnsi"/>
          <w:color w:val="auto"/>
          <w:szCs w:val="24"/>
          <w:lang w:eastAsia="en-US"/>
        </w:rPr>
        <w:t xml:space="preserve"> mg/ml</w:t>
      </w:r>
      <w:r w:rsidR="006B0568">
        <w:rPr>
          <w:rFonts w:eastAsiaTheme="minorHAnsi"/>
          <w:color w:val="auto"/>
          <w:szCs w:val="24"/>
          <w:lang w:eastAsia="en-US"/>
        </w:rPr>
        <w:t xml:space="preserve"> e por fim o ácido sucínico com 0.05</w:t>
      </w:r>
      <w:r w:rsidR="006B0568" w:rsidRPr="00874CB0">
        <w:rPr>
          <w:rFonts w:eastAsiaTheme="minorHAnsi"/>
          <w:color w:val="auto"/>
          <w:szCs w:val="24"/>
          <w:lang w:eastAsia="en-US"/>
        </w:rPr>
        <w:t xml:space="preserve"> ± 0.003 mg/ml</w:t>
      </w:r>
      <w:r w:rsidR="006B0568">
        <w:rPr>
          <w:rFonts w:eastAsiaTheme="minorHAnsi"/>
          <w:color w:val="auto"/>
          <w:szCs w:val="24"/>
          <w:lang w:eastAsia="en-US"/>
        </w:rPr>
        <w:t>.</w:t>
      </w:r>
    </w:p>
    <w:p w14:paraId="79C5EAD7" w14:textId="6FAA50D4" w:rsidR="006B0568" w:rsidRDefault="006B0568" w:rsidP="00874CB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Para a cultivar ‘Gialla’</w:t>
      </w:r>
      <w:r w:rsidR="00197BE9">
        <w:rPr>
          <w:rFonts w:eastAsiaTheme="minorHAnsi"/>
          <w:color w:val="auto"/>
          <w:szCs w:val="24"/>
          <w:lang w:eastAsia="en-US"/>
        </w:rPr>
        <w:t>, na casca a maior quantidade foi para o ácido propiónico (2.29 ± 0.04</w:t>
      </w:r>
      <w:r w:rsidR="00197BE9" w:rsidRPr="00874CB0">
        <w:rPr>
          <w:rFonts w:eastAsiaTheme="minorHAnsi"/>
          <w:color w:val="auto"/>
          <w:szCs w:val="24"/>
          <w:lang w:eastAsia="en-US"/>
        </w:rPr>
        <w:t xml:space="preserve"> mg/ml</w:t>
      </w:r>
      <w:r w:rsidR="00197BE9">
        <w:rPr>
          <w:rFonts w:eastAsiaTheme="minorHAnsi"/>
          <w:color w:val="auto"/>
          <w:szCs w:val="24"/>
          <w:lang w:eastAsia="en-US"/>
        </w:rPr>
        <w:t>), obteve-se também o ácido málico (1.38 ± 0.42 mg/ml) e o ácido sucínico (0.13 ± 0.15</w:t>
      </w:r>
      <w:r w:rsidR="00197BE9" w:rsidRPr="00874CB0">
        <w:rPr>
          <w:rFonts w:eastAsiaTheme="minorHAnsi"/>
          <w:color w:val="auto"/>
          <w:szCs w:val="24"/>
          <w:lang w:eastAsia="en-US"/>
        </w:rPr>
        <w:t xml:space="preserve"> mg/m</w:t>
      </w:r>
      <w:r w:rsidR="00197BE9">
        <w:rPr>
          <w:rFonts w:eastAsiaTheme="minorHAnsi"/>
          <w:color w:val="auto"/>
          <w:szCs w:val="24"/>
          <w:lang w:eastAsia="en-US"/>
        </w:rPr>
        <w:t>l). Na polpa apenas foram detetados ácido málico (0.84</w:t>
      </w:r>
      <w:r w:rsidR="00197BE9" w:rsidRPr="00874CB0">
        <w:rPr>
          <w:rFonts w:eastAsiaTheme="minorHAnsi"/>
          <w:color w:val="auto"/>
          <w:szCs w:val="24"/>
          <w:lang w:eastAsia="en-US"/>
        </w:rPr>
        <w:t xml:space="preserve"> mg/ml</w:t>
      </w:r>
      <w:r w:rsidR="00197BE9">
        <w:rPr>
          <w:rFonts w:eastAsiaTheme="minorHAnsi"/>
          <w:color w:val="auto"/>
          <w:szCs w:val="24"/>
          <w:lang w:eastAsia="en-US"/>
        </w:rPr>
        <w:t>) e ácido sucínico (0.26</w:t>
      </w:r>
      <w:r w:rsidR="00197BE9" w:rsidRPr="00874CB0">
        <w:rPr>
          <w:rFonts w:eastAsiaTheme="minorHAnsi"/>
          <w:color w:val="auto"/>
          <w:szCs w:val="24"/>
          <w:lang w:eastAsia="en-US"/>
        </w:rPr>
        <w:t xml:space="preserve"> ± 0.273 mg/ml</w:t>
      </w:r>
      <w:r w:rsidR="00197BE9">
        <w:rPr>
          <w:rFonts w:eastAsiaTheme="minorHAnsi"/>
          <w:color w:val="auto"/>
          <w:szCs w:val="24"/>
          <w:lang w:eastAsia="en-US"/>
        </w:rPr>
        <w:t>)</w:t>
      </w:r>
    </w:p>
    <w:p w14:paraId="24752884" w14:textId="77777777" w:rsidR="0000378A" w:rsidRPr="00874CB0" w:rsidRDefault="0000378A" w:rsidP="00874CB0">
      <w:pPr>
        <w:widowControl w:val="0"/>
        <w:autoSpaceDE w:val="0"/>
        <w:autoSpaceDN w:val="0"/>
        <w:adjustRightInd w:val="0"/>
        <w:spacing w:after="160" w:line="360" w:lineRule="auto"/>
        <w:ind w:left="0" w:right="0" w:firstLine="0"/>
        <w:rPr>
          <w:rFonts w:eastAsiaTheme="minorHAnsi"/>
          <w:color w:val="auto"/>
          <w:szCs w:val="24"/>
          <w:lang w:eastAsia="en-US"/>
        </w:rPr>
      </w:pPr>
    </w:p>
    <w:p w14:paraId="0BB5A6F2" w14:textId="5028AB08" w:rsidR="00874CB0" w:rsidRPr="00874CB0" w:rsidRDefault="00874CB0" w:rsidP="00874CB0">
      <w:pPr>
        <w:widowControl w:val="0"/>
        <w:autoSpaceDE w:val="0"/>
        <w:autoSpaceDN w:val="0"/>
        <w:adjustRightInd w:val="0"/>
        <w:spacing w:after="160" w:line="360" w:lineRule="auto"/>
        <w:ind w:left="0" w:right="0" w:firstLine="0"/>
        <w:rPr>
          <w:rFonts w:eastAsiaTheme="minorHAnsi"/>
          <w:color w:val="auto"/>
          <w:szCs w:val="24"/>
          <w:lang w:eastAsia="en-US"/>
        </w:rPr>
      </w:pPr>
      <w:r w:rsidRPr="00874CB0">
        <w:rPr>
          <w:rFonts w:eastAsiaTheme="minorHAnsi"/>
          <w:color w:val="auto"/>
          <w:szCs w:val="24"/>
          <w:lang w:eastAsia="en-US"/>
        </w:rPr>
        <w:t xml:space="preserve">Foi referido por </w:t>
      </w:r>
      <w:r w:rsidRPr="00874CB0">
        <w:rPr>
          <w:rFonts w:eastAsiaTheme="minorHAnsi"/>
          <w:color w:val="auto"/>
          <w:szCs w:val="24"/>
          <w:lang w:eastAsia="en-US"/>
        </w:rPr>
        <w:fldChar w:fldCharType="begin" w:fldLock="1"/>
      </w:r>
      <w:r w:rsidR="00D73AD0">
        <w:rPr>
          <w:rFonts w:eastAsiaTheme="minorHAnsi"/>
          <w:color w:val="auto"/>
          <w:szCs w:val="24"/>
          <w:lang w:eastAsia="en-US"/>
        </w:rPr>
        <w:instrText>ADDIN CSL_CITATION { "citationItems" : [ { "id" : "ITEM-1", "itemData" : { "author" : [ { "dropping-particle" : "", "family" : "Teles", "given" : "F. F. Feitosa", "non-dropping-particle" : "", "parse-names" : false, "suffix" : "" }, { "dropping-particle" : "", "family" : "Price", "given" : "R. L.", "non-dropping-particle" : "", "parse-names" : false, "suffix" : "" }, { "dropping-particle" : "", "family" : "Frank Whiting", "given" : "", "non-dropping-particle" : "", "parse-names" : false, "suffix" : "" }, { "dropping-particle" : "", "family" : "Reid", "given" : "B. L.", "non-dropping-particle" : "", "parse-names" : false, "suffix" : "" } ], "container-title" : "Revista Ceres", "id" : "ITEM-1", "issue" : "238", "issued" : { "date-parts" : [ [ "1994" ] ] }, "page" : "614-622", "title" : "Circadian variation of non-volatile organic acids in the prickly pear (opuntia ficus indica L.)", "type" : "article-journal", "volume" : "61" }, "uris" : [ "http://www.mendeley.com/documents/?uuid=ecf3c1b2-1965-47a5-aeeb-dc97eae34a52" ] } ], "mendeley" : { "formattedCitation" : "(Teles et al., 1994)", "manualFormatting" : "Teles et al. (1994)", "plainTextFormattedCitation" : "(Teles et al., 1994)", "previouslyFormattedCitation" : "(Teles et al., 1994)" }, "properties" : { "noteIndex" : 0 }, "schema" : "https://github.com/citation-style-language/schema/raw/master/csl-citation.json" }</w:instrText>
      </w:r>
      <w:r w:rsidRPr="00874CB0">
        <w:rPr>
          <w:rFonts w:eastAsiaTheme="minorHAnsi"/>
          <w:color w:val="auto"/>
          <w:szCs w:val="24"/>
          <w:lang w:eastAsia="en-US"/>
        </w:rPr>
        <w:fldChar w:fldCharType="separate"/>
      </w:r>
      <w:r w:rsidRPr="00874CB0">
        <w:rPr>
          <w:rFonts w:eastAsiaTheme="minorHAnsi"/>
          <w:noProof/>
          <w:color w:val="auto"/>
          <w:szCs w:val="24"/>
          <w:lang w:eastAsia="en-US"/>
        </w:rPr>
        <w:t>Teles et al. (1994)</w:t>
      </w:r>
      <w:r w:rsidRPr="00874CB0">
        <w:rPr>
          <w:rFonts w:eastAsiaTheme="minorHAnsi"/>
          <w:color w:val="auto"/>
          <w:szCs w:val="24"/>
          <w:lang w:eastAsia="en-US"/>
        </w:rPr>
        <w:fldChar w:fldCharType="end"/>
      </w:r>
      <w:r w:rsidRPr="00874CB0">
        <w:rPr>
          <w:rFonts w:eastAsiaTheme="minorHAnsi"/>
          <w:color w:val="auto"/>
          <w:szCs w:val="24"/>
          <w:lang w:eastAsia="en-US"/>
        </w:rPr>
        <w:t xml:space="preserve"> a existência do ácido cítrico mas este não foi detetado nos nosso</w:t>
      </w:r>
      <w:r w:rsidR="00197BE9">
        <w:rPr>
          <w:rFonts w:eastAsiaTheme="minorHAnsi"/>
          <w:color w:val="auto"/>
          <w:szCs w:val="24"/>
          <w:lang w:eastAsia="en-US"/>
        </w:rPr>
        <w:t>s</w:t>
      </w:r>
      <w:r w:rsidRPr="00874CB0">
        <w:rPr>
          <w:rFonts w:eastAsiaTheme="minorHAnsi"/>
          <w:color w:val="auto"/>
          <w:szCs w:val="24"/>
          <w:lang w:eastAsia="en-US"/>
        </w:rPr>
        <w:t xml:space="preserve"> frutos e </w:t>
      </w:r>
      <w:r w:rsidRPr="00874CB0">
        <w:rPr>
          <w:rFonts w:eastAsiaTheme="minorHAnsi"/>
          <w:color w:val="auto"/>
          <w:szCs w:val="24"/>
          <w:lang w:eastAsia="en-US"/>
        </w:rPr>
        <w:fldChar w:fldCharType="begin" w:fldLock="1"/>
      </w:r>
      <w:r w:rsidR="00BD1ECB">
        <w:rPr>
          <w:rFonts w:eastAsiaTheme="minorHAnsi"/>
          <w:color w:val="auto"/>
          <w:szCs w:val="24"/>
          <w:lang w:eastAsia="en-US"/>
        </w:rPr>
        <w:instrText>ADDIN CSL_CITATION { "citationItems" : [ { "id" : "ITEM-1", "itemData" : { "ISBN" : "4971145923", "ISSN" : "19386648", "abstract" : "Crops with additional health-promoting and nutritional benefits, such as cactus pears, are increasingly gaining momentum both for health professionals and consumers (Feugang et al., 2006). Cactus pear fruits are rich in betalains, taurine, minerals, and antioxidants, and thus fit well this trend. Hence, it is considered and are predicted a promising future crop for commercial food applications. In this light, a sound knowledge of the physical and chemical characteristics of cactus pears as well as their current and potential future uses are needed. However, data are scattered and often difficult to access. Therefore, the present review summarizes data from the literature and points out promising areas of research.", "author" : [ { "dropping-particle" : "", "family" : "Mo\u00dfhammer", "given" : "Markus R", "non-dropping-particle" : "", "parse-names" : false, "suffix" : "" }, { "dropping-particle" : "", "family" : "Stintzing", "given" : "Florian C", "non-dropping-particle" : "", "parse-names" : false, "suffix" : "" }, { "dropping-particle" : "", "family" : "Carle", "given" : "Reinhold", "non-dropping-particle" : "", "parse-names" : false, "suffix" : "" } ], "container-title" : "Journal of the Professional Association for Cactus Development", "id" : "ITEM-1", "issued" : { "date-parts" : [ [ "2006" ] ] }, "page" : "1-25", "title" : "Cactus Pear Fruits ( Opuntia spp .): A Review of Processing Technologies and Current Uses", "type" : "article-journal", "volume" : "8" }, "uris" : [ "http://www.mendeley.com/documents/?uuid=10d84f78-e8b0-4b01-b8c4-6ec24b9013c4" ] } ], "mendeley" : { "formattedCitation" : "(Mo\u00dfhammer, Stintzing, &amp; Carle, 2006)", "manualFormatting" : "Mo\u00dfhammer et al. (2006)", "plainTextFormattedCitation" : "(Mo\u00dfhammer, Stintzing, &amp; Carle, 2006)", "previouslyFormattedCitation" : "(Mo\u00dfhammer, Stintzing, &amp; Carle, 2006)" }, "properties" : { "noteIndex" : 0 }, "schema" : "https://github.com/citation-style-language/schema/raw/master/csl-citation.json" }</w:instrText>
      </w:r>
      <w:r w:rsidRPr="00874CB0">
        <w:rPr>
          <w:rFonts w:eastAsiaTheme="minorHAnsi"/>
          <w:color w:val="auto"/>
          <w:szCs w:val="24"/>
          <w:lang w:eastAsia="en-US"/>
        </w:rPr>
        <w:fldChar w:fldCharType="separate"/>
      </w:r>
      <w:r w:rsidRPr="00874CB0">
        <w:rPr>
          <w:rFonts w:eastAsiaTheme="minorHAnsi"/>
          <w:noProof/>
          <w:color w:val="auto"/>
          <w:szCs w:val="24"/>
          <w:lang w:eastAsia="en-US"/>
        </w:rPr>
        <w:t>Moßhammer et al. (2006)</w:t>
      </w:r>
      <w:r w:rsidRPr="00874CB0">
        <w:rPr>
          <w:rFonts w:eastAsiaTheme="minorHAnsi"/>
          <w:color w:val="auto"/>
          <w:szCs w:val="24"/>
          <w:lang w:eastAsia="en-US"/>
        </w:rPr>
        <w:fldChar w:fldCharType="end"/>
      </w:r>
      <w:r w:rsidRPr="00874CB0">
        <w:rPr>
          <w:rFonts w:eastAsiaTheme="minorHAnsi"/>
          <w:color w:val="auto"/>
          <w:szCs w:val="24"/>
          <w:lang w:eastAsia="en-US"/>
        </w:rPr>
        <w:t xml:space="preserve"> referiu também a existência de ácido quini</w:t>
      </w:r>
      <w:r w:rsidR="00353620">
        <w:rPr>
          <w:rFonts w:eastAsiaTheme="minorHAnsi"/>
          <w:color w:val="auto"/>
          <w:szCs w:val="24"/>
          <w:lang w:eastAsia="en-US"/>
        </w:rPr>
        <w:t>co, chiqui</w:t>
      </w:r>
      <w:r w:rsidR="0057093F">
        <w:rPr>
          <w:rFonts w:eastAsiaTheme="minorHAnsi"/>
          <w:color w:val="auto"/>
          <w:szCs w:val="24"/>
          <w:lang w:eastAsia="en-US"/>
        </w:rPr>
        <w:t>m</w:t>
      </w:r>
      <w:r w:rsidR="00353620">
        <w:rPr>
          <w:rFonts w:eastAsiaTheme="minorHAnsi"/>
          <w:color w:val="auto"/>
          <w:szCs w:val="24"/>
          <w:lang w:eastAsia="en-US"/>
        </w:rPr>
        <w:t>ico</w:t>
      </w:r>
      <w:r w:rsidRPr="00874CB0">
        <w:rPr>
          <w:rFonts w:eastAsiaTheme="minorHAnsi"/>
          <w:color w:val="auto"/>
          <w:szCs w:val="24"/>
          <w:lang w:eastAsia="en-US"/>
        </w:rPr>
        <w:t xml:space="preserve"> e oxálico.</w:t>
      </w:r>
      <w:r w:rsidR="0057093F">
        <w:rPr>
          <w:rFonts w:eastAsiaTheme="minorHAnsi"/>
          <w:color w:val="auto"/>
          <w:szCs w:val="24"/>
          <w:lang w:eastAsia="en-US"/>
        </w:rPr>
        <w:t xml:space="preserve"> Também foram encontrados</w:t>
      </w:r>
      <w:r w:rsidR="00353620">
        <w:rPr>
          <w:rFonts w:eastAsiaTheme="minorHAnsi"/>
          <w:color w:val="auto"/>
          <w:szCs w:val="24"/>
          <w:lang w:eastAsia="en-US"/>
        </w:rPr>
        <w:t xml:space="preserve"> ácidos</w:t>
      </w:r>
      <w:r w:rsidR="0057093F">
        <w:rPr>
          <w:rFonts w:eastAsiaTheme="minorHAnsi"/>
          <w:color w:val="auto"/>
          <w:szCs w:val="24"/>
          <w:lang w:eastAsia="en-US"/>
        </w:rPr>
        <w:t xml:space="preserve"> gordos</w:t>
      </w:r>
      <w:r w:rsidR="00353620">
        <w:rPr>
          <w:rFonts w:eastAsiaTheme="minorHAnsi"/>
          <w:color w:val="auto"/>
          <w:szCs w:val="24"/>
          <w:lang w:eastAsia="en-US"/>
        </w:rPr>
        <w:t xml:space="preserve"> por </w:t>
      </w:r>
      <w:r w:rsidR="00353620">
        <w:rPr>
          <w:rFonts w:eastAsiaTheme="minorHAnsi"/>
          <w:color w:val="auto"/>
          <w:szCs w:val="24"/>
          <w:lang w:eastAsia="en-US"/>
        </w:rPr>
        <w:fldChar w:fldCharType="begin" w:fldLock="1"/>
      </w:r>
      <w:r w:rsidR="0057093F">
        <w:rPr>
          <w:rFonts w:eastAsiaTheme="minorHAnsi"/>
          <w:color w:val="auto"/>
          <w:szCs w:val="24"/>
          <w:lang w:eastAsia="en-US"/>
        </w:rPr>
        <w:instrText>ADDIN CSL_CITATION { "citationItems" : [ { "id" : "ITEM-1", "itemData" : { "DOI" : "10.3390/molecules190914879", "ISSN" : "14203049", "PMID" : "25232708", "abstract" : "Opuntia ficus-indica, commonly referred to as prickly pear or nopal cactus, is a dicotyledonous angiosperm plant. It belongs to the Cactaceae family and is characterized by its remarkable adaptation to arid and semi-arid climates in tropical and subtropical regions of the globe. In the last decade, compelling evidence for the nutritional and health benefit potential of this cactus has been provided by academic scientists and private companies. Notably, its rich composition in polyphenols, vitamins, polyunsaturated fatty acids and amino acids has been highlighted through the use of a large panel of extraction methods. The identified natural cactus compounds and derivatives were shown to be endowed with biologically relevant activities including anti-inflammatory, antioxidant, hypoglycemic, antimicrobial and neuroprotective properties. The present review is aimed at stressing the major classes of cactus components and their medical interest through emphasis on some of their biological effects, particularly those having the most promising expected health benefit and therapeutic impacts.", "author" : [ { "dropping-particle" : "", "family" : "El-Mostafa", "given" : "Karym", "non-dropping-particle" : "", "parse-names" : false, "suffix" : "" }, { "dropping-particle" : "", "family" : "Kharrassi", "given" : "Youssef", "non-dropping-particle" : "El", "parse-names" : false, "suffix" : "" }, { "dropping-particle" : "", "family" : "Badreddine", "given" : "Asmaa", "non-dropping-particle" : "", "parse-names" : false, "suffix" : "" }, { "dropping-particle" : "", "family" : "Andreoletti", "given" : "Pierre", "non-dropping-particle" : "", "parse-names" : false, "suffix" : "" }, { "dropping-particle" : "", "family" : "Vamecq", "given" : "Joseph", "non-dropping-particle" : "", "parse-names" : false, "suffix" : "" }, { "dropping-particle" : "", "family" : "Kebbaj", "given" : "M'hammed Sa??d", "non-dropping-particle" : "El", "parse-names" : false, "suffix" : "" }, { "dropping-particle" : "", "family" : "Latruffe", "given" : "Norbert", "non-dropping-particle" : "", "parse-names" : false, "suffix" : "" }, { "dropping-particle" : "", "family" : "Lizard", "given" : "G??rard", "non-dropping-particle" : "", "parse-names" : false, "suffix" : "" }, { "dropping-particle" : "", "family" : "Nasser", "given" : "Boubker", "non-dropping-particle" : "", "parse-names" : false, "suffix" : "" }, { "dropping-particle" : "", "family" : "Cherkaoui-Malki", "given" : "Mustapha", "non-dropping-particle" : "", "parse-names" : false, "suffix" : "" } ], "container-title" : "Molecules", "id" : "ITEM-1", "issue" : "9", "issued" : { "date-parts" : [ [ "2014" ] ] }, "page" : "14879-14901", "title" : "Nopal cactus (Opuntia ficus-indica) as a source of bioactive compounds for nutrition, health and disease", "type" : "article-journal", "volume" : "19" }, "uris" : [ "http://www.mendeley.com/documents/?uuid=4f415b30-95a8-4a6f-b098-a424dc5fee0d" ] } ], "mendeley" : { "formattedCitation" : "(El-Mostafa et al., 2014)", "manualFormatting" : "El-Mostafa et al., (2014", "plainTextFormattedCitation" : "(El-Mostafa et al., 2014)", "previouslyFormattedCitation" : "(El-Mostafa et al., 2014)" }, "properties" : { "noteIndex" : 0 }, "schema" : "https://github.com/citation-style-language/schema/raw/master/csl-citation.json" }</w:instrText>
      </w:r>
      <w:r w:rsidR="00353620">
        <w:rPr>
          <w:rFonts w:eastAsiaTheme="minorHAnsi"/>
          <w:color w:val="auto"/>
          <w:szCs w:val="24"/>
          <w:lang w:eastAsia="en-US"/>
        </w:rPr>
        <w:fldChar w:fldCharType="separate"/>
      </w:r>
      <w:r w:rsidR="00353620">
        <w:rPr>
          <w:rFonts w:eastAsiaTheme="minorHAnsi"/>
          <w:noProof/>
          <w:color w:val="auto"/>
          <w:szCs w:val="24"/>
          <w:lang w:eastAsia="en-US"/>
        </w:rPr>
        <w:t>El-Mostafa et al.,</w:t>
      </w:r>
      <w:r w:rsidR="00353620" w:rsidRPr="00353620">
        <w:rPr>
          <w:rFonts w:eastAsiaTheme="minorHAnsi"/>
          <w:noProof/>
          <w:color w:val="auto"/>
          <w:szCs w:val="24"/>
          <w:lang w:eastAsia="en-US"/>
        </w:rPr>
        <w:t xml:space="preserve"> </w:t>
      </w:r>
      <w:r w:rsidR="0057093F">
        <w:rPr>
          <w:rFonts w:eastAsiaTheme="minorHAnsi"/>
          <w:noProof/>
          <w:color w:val="auto"/>
          <w:szCs w:val="24"/>
          <w:lang w:eastAsia="en-US"/>
        </w:rPr>
        <w:t>(</w:t>
      </w:r>
      <w:r w:rsidR="00353620" w:rsidRPr="00353620">
        <w:rPr>
          <w:rFonts w:eastAsiaTheme="minorHAnsi"/>
          <w:noProof/>
          <w:color w:val="auto"/>
          <w:szCs w:val="24"/>
          <w:lang w:eastAsia="en-US"/>
        </w:rPr>
        <w:t>2014</w:t>
      </w:r>
      <w:r w:rsidR="00353620">
        <w:rPr>
          <w:rFonts w:eastAsiaTheme="minorHAnsi"/>
          <w:color w:val="auto"/>
          <w:szCs w:val="24"/>
          <w:lang w:eastAsia="en-US"/>
        </w:rPr>
        <w:fldChar w:fldCharType="end"/>
      </w:r>
      <w:r w:rsidR="0057093F">
        <w:rPr>
          <w:rFonts w:eastAsiaTheme="minorHAnsi"/>
          <w:color w:val="auto"/>
          <w:szCs w:val="24"/>
          <w:lang w:eastAsia="en-US"/>
        </w:rPr>
        <w:t>)</w:t>
      </w:r>
      <w:r w:rsidR="00221959">
        <w:rPr>
          <w:rFonts w:eastAsiaTheme="minorHAnsi"/>
          <w:color w:val="auto"/>
          <w:szCs w:val="24"/>
          <w:lang w:eastAsia="en-US"/>
        </w:rPr>
        <w:t xml:space="preserve"> no figo da índia,</w:t>
      </w:r>
      <w:r w:rsidR="00353620">
        <w:rPr>
          <w:rFonts w:eastAsiaTheme="minorHAnsi"/>
          <w:color w:val="auto"/>
          <w:szCs w:val="24"/>
          <w:lang w:eastAsia="en-US"/>
        </w:rPr>
        <w:t xml:space="preserve"> </w:t>
      </w:r>
      <w:r w:rsidR="00221959">
        <w:rPr>
          <w:rFonts w:eastAsiaTheme="minorHAnsi"/>
          <w:color w:val="auto"/>
          <w:szCs w:val="24"/>
          <w:lang w:eastAsia="en-US"/>
        </w:rPr>
        <w:t>o</w:t>
      </w:r>
      <w:r w:rsidR="00353620">
        <w:rPr>
          <w:rFonts w:eastAsiaTheme="minorHAnsi"/>
          <w:color w:val="auto"/>
          <w:szCs w:val="24"/>
          <w:lang w:eastAsia="en-US"/>
        </w:rPr>
        <w:t xml:space="preserve"> ácido linoleico, oleico e palmítico</w:t>
      </w:r>
      <w:r w:rsidR="00221959">
        <w:rPr>
          <w:rFonts w:eastAsiaTheme="minorHAnsi"/>
          <w:color w:val="auto"/>
          <w:szCs w:val="24"/>
          <w:lang w:eastAsia="en-US"/>
        </w:rPr>
        <w:t xml:space="preserve">, contudo </w:t>
      </w:r>
      <w:proofErr w:type="gramStart"/>
      <w:r w:rsidR="00221959">
        <w:rPr>
          <w:rFonts w:eastAsiaTheme="minorHAnsi"/>
          <w:color w:val="auto"/>
          <w:szCs w:val="24"/>
          <w:lang w:eastAsia="en-US"/>
        </w:rPr>
        <w:t>nestes trabalho</w:t>
      </w:r>
      <w:proofErr w:type="gramEnd"/>
      <w:r w:rsidR="00221959">
        <w:rPr>
          <w:rFonts w:eastAsiaTheme="minorHAnsi"/>
          <w:color w:val="auto"/>
          <w:szCs w:val="24"/>
          <w:lang w:eastAsia="en-US"/>
        </w:rPr>
        <w:t xml:space="preserve"> não procuramos estes ácidos</w:t>
      </w:r>
      <w:r w:rsidR="00353620">
        <w:rPr>
          <w:rFonts w:eastAsiaTheme="minorHAnsi"/>
          <w:color w:val="auto"/>
          <w:szCs w:val="24"/>
          <w:lang w:eastAsia="en-US"/>
        </w:rPr>
        <w:t>.</w:t>
      </w:r>
    </w:p>
    <w:p w14:paraId="52D252B0" w14:textId="77777777" w:rsidR="00874CB0" w:rsidRPr="00874CB0" w:rsidRDefault="00874CB0" w:rsidP="00874CB0">
      <w:pPr>
        <w:widowControl w:val="0"/>
        <w:autoSpaceDE w:val="0"/>
        <w:autoSpaceDN w:val="0"/>
        <w:adjustRightInd w:val="0"/>
        <w:spacing w:after="160" w:line="360" w:lineRule="auto"/>
        <w:ind w:left="0" w:right="0" w:firstLine="0"/>
        <w:rPr>
          <w:rFonts w:eastAsiaTheme="minorHAnsi"/>
          <w:color w:val="auto"/>
          <w:szCs w:val="24"/>
          <w:lang w:eastAsia="en-US"/>
        </w:rPr>
      </w:pPr>
      <w:r w:rsidRPr="00874CB0">
        <w:rPr>
          <w:rFonts w:eastAsiaTheme="minorHAnsi"/>
          <w:color w:val="auto"/>
          <w:szCs w:val="24"/>
          <w:lang w:eastAsia="en-US"/>
        </w:rPr>
        <w:t>Feita a analise estatística pela ANOVA foi possível verificar que entre as cultivares existem diferenças significativas entre os ácidos (</w:t>
      </w:r>
      <w:proofErr w:type="gramStart"/>
      <w:r w:rsidRPr="00874CB0">
        <w:rPr>
          <w:rFonts w:eastAsiaTheme="minorHAnsi"/>
          <w:color w:val="auto"/>
          <w:szCs w:val="24"/>
          <w:lang w:eastAsia="en-US"/>
        </w:rPr>
        <w:t>p&lt;0.</w:t>
      </w:r>
      <w:proofErr w:type="gramEnd"/>
      <w:r w:rsidRPr="00874CB0">
        <w:rPr>
          <w:rFonts w:eastAsiaTheme="minorHAnsi"/>
          <w:color w:val="auto"/>
          <w:szCs w:val="24"/>
          <w:lang w:eastAsia="en-US"/>
        </w:rPr>
        <w:t>05), excetuando para o ácido pirúvico. Quando comparadas as partes do fruto, ou seja, a casca e a polpa, apenas o ácido glutárico apresenta dife</w:t>
      </w:r>
      <w:r w:rsidR="00454889">
        <w:rPr>
          <w:rFonts w:eastAsiaTheme="minorHAnsi"/>
          <w:color w:val="auto"/>
          <w:szCs w:val="24"/>
          <w:lang w:eastAsia="en-US"/>
        </w:rPr>
        <w:t xml:space="preserve">rença significativas com </w:t>
      </w:r>
      <w:proofErr w:type="gramStart"/>
      <w:r w:rsidR="00454889">
        <w:rPr>
          <w:rFonts w:eastAsiaTheme="minorHAnsi"/>
          <w:color w:val="auto"/>
          <w:szCs w:val="24"/>
          <w:lang w:eastAsia="en-US"/>
        </w:rPr>
        <w:t>p&lt;0.</w:t>
      </w:r>
      <w:proofErr w:type="gramEnd"/>
      <w:r w:rsidR="00454889">
        <w:rPr>
          <w:rFonts w:eastAsiaTheme="minorHAnsi"/>
          <w:color w:val="auto"/>
          <w:szCs w:val="24"/>
          <w:lang w:eastAsia="en-US"/>
        </w:rPr>
        <w:t>05</w:t>
      </w:r>
      <w:r w:rsidRPr="00874CB0">
        <w:rPr>
          <w:rFonts w:eastAsiaTheme="minorHAnsi"/>
          <w:color w:val="auto"/>
          <w:szCs w:val="24"/>
          <w:lang w:eastAsia="en-US"/>
        </w:rPr>
        <w:t>.</w:t>
      </w:r>
    </w:p>
    <w:p w14:paraId="69BB180B" w14:textId="77777777" w:rsidR="00CE7FD0" w:rsidRDefault="00CE7FD0" w:rsidP="00F20BAE">
      <w:pPr>
        <w:keepNext/>
        <w:jc w:val="center"/>
      </w:pPr>
      <w:r w:rsidRPr="00661461">
        <w:rPr>
          <w:rFonts w:asciiTheme="minorHAnsi" w:eastAsiaTheme="minorHAnsi" w:hAnsiTheme="minorHAnsi" w:cstheme="minorBidi"/>
          <w:noProof/>
          <w:color w:val="auto"/>
          <w:sz w:val="22"/>
        </w:rPr>
        <w:drawing>
          <wp:inline distT="0" distB="0" distL="0" distR="0" wp14:anchorId="72E5FE7A" wp14:editId="6EF728C8">
            <wp:extent cx="4572000" cy="2743200"/>
            <wp:effectExtent l="0" t="0" r="0" b="0"/>
            <wp:docPr id="242" name="Gráfico 24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8C01AFD-F461-4CD6-AF2C-CEC3D535B2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99647F2" w14:textId="3AD3C4DD" w:rsidR="00CE7FD0" w:rsidRPr="006C2067" w:rsidRDefault="00CE7FD0" w:rsidP="00CE7FD0">
      <w:pPr>
        <w:pStyle w:val="Legenda"/>
        <w:rPr>
          <w:rFonts w:eastAsiaTheme="minorHAnsi"/>
          <w:i w:val="0"/>
          <w:color w:val="auto"/>
          <w:sz w:val="20"/>
          <w:lang w:eastAsia="en-US"/>
        </w:rPr>
      </w:pPr>
      <w:bookmarkStart w:id="325" w:name="_Toc479333903"/>
      <w:r>
        <w:t xml:space="preserve">Figura </w:t>
      </w:r>
      <w:r w:rsidR="00805B44">
        <w:fldChar w:fldCharType="begin"/>
      </w:r>
      <w:r w:rsidR="00805B44">
        <w:instrText xml:space="preserve"> SEQ Figura \* ARABIC </w:instrText>
      </w:r>
      <w:r w:rsidR="00805B44">
        <w:fldChar w:fldCharType="separate"/>
      </w:r>
      <w:r w:rsidR="005F28B4">
        <w:rPr>
          <w:noProof/>
        </w:rPr>
        <w:t>28</w:t>
      </w:r>
      <w:r w:rsidR="00805B44">
        <w:rPr>
          <w:noProof/>
        </w:rPr>
        <w:fldChar w:fldCharType="end"/>
      </w:r>
      <w:r>
        <w:t xml:space="preserve"> </w:t>
      </w:r>
      <w:proofErr w:type="gramStart"/>
      <w:r>
        <w:t xml:space="preserve">-  </w:t>
      </w:r>
      <w:proofErr w:type="gramEnd"/>
      <w:r w:rsidR="00901BBD">
        <w:rPr>
          <w:rFonts w:eastAsiaTheme="minorHAnsi"/>
          <w:i w:val="0"/>
          <w:color w:val="auto"/>
          <w:sz w:val="20"/>
          <w:lang w:eastAsia="en-US"/>
        </w:rPr>
        <w:t>– Q</w:t>
      </w:r>
      <w:r w:rsidRPr="006C2067">
        <w:rPr>
          <w:rFonts w:eastAsiaTheme="minorHAnsi"/>
          <w:i w:val="0"/>
          <w:color w:val="auto"/>
          <w:sz w:val="20"/>
          <w:lang w:eastAsia="en-US"/>
        </w:rPr>
        <w:t>uantificação dos ácidos orgânicos detetados por HPLC das diferentes cultivares de figo da índia.</w:t>
      </w:r>
      <w:bookmarkEnd w:id="325"/>
    </w:p>
    <w:p w14:paraId="2552E29C" w14:textId="77777777" w:rsidR="00874CB0" w:rsidRDefault="00874CB0" w:rsidP="00CE7FD0">
      <w:pPr>
        <w:pStyle w:val="Legenda"/>
      </w:pPr>
    </w:p>
    <w:p w14:paraId="4AD0269D" w14:textId="0A529682" w:rsidR="00291CEE" w:rsidRPr="00882CE6" w:rsidRDefault="00291CEE" w:rsidP="00882CE6">
      <w:pPr>
        <w:pStyle w:val="Cabealho3"/>
        <w:rPr>
          <w:rFonts w:eastAsiaTheme="minorHAnsi"/>
          <w:i/>
          <w:iCs/>
          <w:color w:val="auto"/>
          <w:lang w:eastAsia="en-US"/>
        </w:rPr>
      </w:pPr>
      <w:bookmarkStart w:id="326" w:name="_Toc479154876"/>
      <w:r w:rsidRPr="00882CE6">
        <w:rPr>
          <w:rFonts w:ascii="Times New Roman" w:eastAsiaTheme="minorHAnsi" w:hAnsi="Times New Roman" w:cs="Times New Roman"/>
          <w:color w:val="auto"/>
          <w:lang w:eastAsia="en-US"/>
        </w:rPr>
        <w:t xml:space="preserve">3.1.7 Açúcares </w:t>
      </w:r>
      <w:r w:rsidR="008E4A6F">
        <w:rPr>
          <w:rFonts w:ascii="Times New Roman" w:eastAsiaTheme="minorHAnsi" w:hAnsi="Times New Roman" w:cs="Times New Roman"/>
          <w:color w:val="auto"/>
          <w:lang w:eastAsia="en-US"/>
        </w:rPr>
        <w:t>totais</w:t>
      </w:r>
      <w:bookmarkEnd w:id="326"/>
    </w:p>
    <w:p w14:paraId="07AAC988" w14:textId="3B924B9D" w:rsidR="007A12A1"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Foram detetados e quan</w:t>
      </w:r>
      <w:r w:rsidR="00F23D4C">
        <w:rPr>
          <w:rFonts w:eastAsiaTheme="minorHAnsi"/>
          <w:color w:val="auto"/>
          <w:szCs w:val="24"/>
          <w:lang w:eastAsia="en-US"/>
        </w:rPr>
        <w:t xml:space="preserve">tificados em </w:t>
      </w:r>
      <w:proofErr w:type="gramStart"/>
      <w:r w:rsidR="00F23D4C">
        <w:rPr>
          <w:rFonts w:eastAsiaTheme="minorHAnsi"/>
          <w:color w:val="auto"/>
          <w:szCs w:val="24"/>
          <w:lang w:eastAsia="en-US"/>
        </w:rPr>
        <w:t>todas as cultivares</w:t>
      </w:r>
      <w:proofErr w:type="gramEnd"/>
      <w:r w:rsidR="00F23D4C">
        <w:rPr>
          <w:rFonts w:eastAsiaTheme="minorHAnsi"/>
          <w:color w:val="auto"/>
          <w:szCs w:val="24"/>
          <w:lang w:eastAsia="en-US"/>
        </w:rPr>
        <w:t>/</w:t>
      </w:r>
      <w:r w:rsidRPr="00CE7FD0">
        <w:rPr>
          <w:rFonts w:eastAsiaTheme="minorHAnsi"/>
          <w:color w:val="auto"/>
          <w:szCs w:val="24"/>
          <w:lang w:eastAsia="en-US"/>
        </w:rPr>
        <w:t>ecótipos</w:t>
      </w:r>
      <w:r w:rsidR="00F23D4C">
        <w:rPr>
          <w:rFonts w:eastAsiaTheme="minorHAnsi"/>
          <w:color w:val="auto"/>
          <w:szCs w:val="24"/>
          <w:lang w:eastAsia="en-US"/>
        </w:rPr>
        <w:t xml:space="preserve">, </w:t>
      </w:r>
      <w:r w:rsidRPr="00CE7FD0">
        <w:rPr>
          <w:rFonts w:eastAsiaTheme="minorHAnsi"/>
          <w:color w:val="auto"/>
          <w:szCs w:val="24"/>
          <w:lang w:eastAsia="en-US"/>
        </w:rPr>
        <w:t>três açúcares</w:t>
      </w:r>
      <w:r w:rsidR="00AC2176">
        <w:rPr>
          <w:rFonts w:eastAsiaTheme="minorHAnsi"/>
          <w:color w:val="auto"/>
          <w:szCs w:val="24"/>
          <w:lang w:eastAsia="en-US"/>
        </w:rPr>
        <w:t>:</w:t>
      </w:r>
      <w:r w:rsidRPr="00CE7FD0">
        <w:rPr>
          <w:rFonts w:eastAsiaTheme="minorHAnsi"/>
          <w:color w:val="auto"/>
          <w:szCs w:val="24"/>
          <w:lang w:eastAsia="en-US"/>
        </w:rPr>
        <w:t xml:space="preserve"> a frutose, a glucose e </w:t>
      </w:r>
      <w:r w:rsidR="00FF14F4">
        <w:rPr>
          <w:rFonts w:eastAsiaTheme="minorHAnsi"/>
          <w:color w:val="auto"/>
          <w:szCs w:val="24"/>
          <w:lang w:eastAsia="en-US"/>
        </w:rPr>
        <w:t>s</w:t>
      </w:r>
      <w:r w:rsidR="00FF14F4" w:rsidRPr="00CE7FD0">
        <w:rPr>
          <w:rFonts w:eastAsiaTheme="minorHAnsi"/>
          <w:color w:val="auto"/>
          <w:szCs w:val="24"/>
          <w:lang w:eastAsia="en-US"/>
        </w:rPr>
        <w:t>acarose</w:t>
      </w:r>
      <w:r w:rsidR="0057093F">
        <w:rPr>
          <w:rFonts w:eastAsiaTheme="minorHAnsi"/>
          <w:color w:val="auto"/>
          <w:szCs w:val="24"/>
          <w:lang w:eastAsia="en-US"/>
        </w:rPr>
        <w:t>. Através da F</w:t>
      </w:r>
      <w:r w:rsidR="00FF14F4">
        <w:rPr>
          <w:rFonts w:eastAsiaTheme="minorHAnsi"/>
          <w:color w:val="auto"/>
          <w:szCs w:val="24"/>
          <w:lang w:eastAsia="en-US"/>
        </w:rPr>
        <w:t xml:space="preserve">igura 29 é visível que existem os mesmos </w:t>
      </w:r>
      <w:proofErr w:type="gramStart"/>
      <w:r w:rsidR="00FF14F4">
        <w:rPr>
          <w:rFonts w:eastAsiaTheme="minorHAnsi"/>
          <w:color w:val="auto"/>
          <w:szCs w:val="24"/>
          <w:lang w:eastAsia="en-US"/>
        </w:rPr>
        <w:t>açucares</w:t>
      </w:r>
      <w:proofErr w:type="gramEnd"/>
      <w:r w:rsidR="00FF14F4">
        <w:rPr>
          <w:rFonts w:eastAsiaTheme="minorHAnsi"/>
          <w:color w:val="auto"/>
          <w:szCs w:val="24"/>
          <w:lang w:eastAsia="en-US"/>
        </w:rPr>
        <w:t xml:space="preserve"> para os diferentes ecótipos/cultivares, bem como nas diferentes partes do fruto.</w:t>
      </w:r>
    </w:p>
    <w:p w14:paraId="69B918D6" w14:textId="53C9C094" w:rsidR="00FF14F4" w:rsidRDefault="0096008D" w:rsidP="00CE7FD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 xml:space="preserve">Para </w:t>
      </w:r>
      <w:r w:rsidR="00FF14F4">
        <w:rPr>
          <w:rFonts w:eastAsiaTheme="minorHAnsi"/>
          <w:color w:val="auto"/>
          <w:szCs w:val="24"/>
          <w:lang w:eastAsia="en-US"/>
        </w:rPr>
        <w:t>a casca d</w:t>
      </w:r>
      <w:r>
        <w:rPr>
          <w:rFonts w:eastAsiaTheme="minorHAnsi"/>
          <w:color w:val="auto"/>
          <w:szCs w:val="24"/>
          <w:lang w:eastAsia="en-US"/>
        </w:rPr>
        <w:t>o ecótipo ‘la</w:t>
      </w:r>
      <w:r w:rsidR="00FF14F4">
        <w:rPr>
          <w:rFonts w:eastAsiaTheme="minorHAnsi"/>
          <w:color w:val="auto"/>
          <w:szCs w:val="24"/>
          <w:lang w:eastAsia="en-US"/>
        </w:rPr>
        <w:t>ranja’, o açúcar predominante foi a glucose com 38.26 ± 0.24 mg/ml, seguindo a sacarose com 4</w:t>
      </w:r>
      <w:r w:rsidR="00FF14F4" w:rsidRPr="00CE7FD0">
        <w:rPr>
          <w:rFonts w:eastAsiaTheme="minorHAnsi"/>
          <w:color w:val="auto"/>
          <w:szCs w:val="24"/>
          <w:lang w:eastAsia="en-US"/>
        </w:rPr>
        <w:t>.93 ± 3.69 mg/ml</w:t>
      </w:r>
      <w:r w:rsidR="00FF14F4">
        <w:rPr>
          <w:rFonts w:eastAsiaTheme="minorHAnsi"/>
          <w:color w:val="auto"/>
          <w:szCs w:val="24"/>
          <w:lang w:eastAsia="en-US"/>
        </w:rPr>
        <w:t xml:space="preserve"> e por último a frutose com </w:t>
      </w:r>
      <w:r w:rsidR="00FF14F4" w:rsidRPr="00CE7FD0">
        <w:rPr>
          <w:rFonts w:eastAsiaTheme="minorHAnsi"/>
          <w:color w:val="auto"/>
          <w:szCs w:val="24"/>
          <w:lang w:eastAsia="en-US"/>
        </w:rPr>
        <w:t>2.80 ± 0.11 mg/ml</w:t>
      </w:r>
      <w:r w:rsidR="00FF14F4">
        <w:rPr>
          <w:rFonts w:eastAsiaTheme="minorHAnsi"/>
          <w:color w:val="auto"/>
          <w:szCs w:val="24"/>
          <w:lang w:eastAsia="en-US"/>
        </w:rPr>
        <w:t xml:space="preserve">. Relativamente à polpa a ordem dos </w:t>
      </w:r>
      <w:proofErr w:type="gramStart"/>
      <w:r w:rsidR="00FF14F4">
        <w:rPr>
          <w:rFonts w:eastAsiaTheme="minorHAnsi"/>
          <w:color w:val="auto"/>
          <w:szCs w:val="24"/>
          <w:lang w:eastAsia="en-US"/>
        </w:rPr>
        <w:t>açucares</w:t>
      </w:r>
      <w:proofErr w:type="gramEnd"/>
      <w:r w:rsidR="00FF14F4">
        <w:rPr>
          <w:rFonts w:eastAsiaTheme="minorHAnsi"/>
          <w:color w:val="auto"/>
          <w:szCs w:val="24"/>
          <w:lang w:eastAsia="en-US"/>
        </w:rPr>
        <w:t xml:space="preserve"> foi o mesmo e com valores bastante semelhantes.</w:t>
      </w:r>
    </w:p>
    <w:p w14:paraId="73597AF2" w14:textId="1C4DD6EA" w:rsidR="00FF14F4" w:rsidRDefault="00FF14F4" w:rsidP="00CE7FD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lastRenderedPageBreak/>
        <w:t>N</w:t>
      </w:r>
      <w:r w:rsidR="005C7D9B">
        <w:rPr>
          <w:rFonts w:eastAsiaTheme="minorHAnsi"/>
          <w:color w:val="auto"/>
          <w:szCs w:val="24"/>
          <w:lang w:eastAsia="en-US"/>
        </w:rPr>
        <w:t xml:space="preserve">a casca do </w:t>
      </w:r>
      <w:r>
        <w:rPr>
          <w:rFonts w:eastAsiaTheme="minorHAnsi"/>
          <w:color w:val="auto"/>
          <w:szCs w:val="24"/>
          <w:lang w:eastAsia="en-US"/>
        </w:rPr>
        <w:t>ecótipo ‘verde’, o açúcar p</w:t>
      </w:r>
      <w:r w:rsidR="005C7D9B">
        <w:rPr>
          <w:rFonts w:eastAsiaTheme="minorHAnsi"/>
          <w:color w:val="auto"/>
          <w:szCs w:val="24"/>
          <w:lang w:eastAsia="en-US"/>
        </w:rPr>
        <w:t xml:space="preserve">resente em maior quantidade é a </w:t>
      </w:r>
      <w:r>
        <w:rPr>
          <w:rFonts w:eastAsiaTheme="minorHAnsi"/>
          <w:color w:val="auto"/>
          <w:szCs w:val="24"/>
          <w:lang w:eastAsia="en-US"/>
        </w:rPr>
        <w:t xml:space="preserve">glucose com 37.17 ± 1.78 mg/ml, </w:t>
      </w:r>
      <w:r w:rsidR="005C7D9B">
        <w:rPr>
          <w:rFonts w:eastAsiaTheme="minorHAnsi"/>
          <w:color w:val="auto"/>
          <w:szCs w:val="24"/>
          <w:lang w:eastAsia="en-US"/>
        </w:rPr>
        <w:t xml:space="preserve">seguiram-se </w:t>
      </w:r>
      <w:r>
        <w:rPr>
          <w:rFonts w:eastAsiaTheme="minorHAnsi"/>
          <w:color w:val="auto"/>
          <w:szCs w:val="24"/>
          <w:lang w:eastAsia="en-US"/>
        </w:rPr>
        <w:t xml:space="preserve">a sacarose com </w:t>
      </w:r>
      <w:r w:rsidRPr="00CE7FD0">
        <w:rPr>
          <w:rFonts w:eastAsiaTheme="minorHAnsi"/>
          <w:color w:val="auto"/>
          <w:szCs w:val="24"/>
          <w:lang w:eastAsia="en-US"/>
        </w:rPr>
        <w:t>33.95 ± 12.8 mg/ml</w:t>
      </w:r>
      <w:r>
        <w:rPr>
          <w:rFonts w:eastAsiaTheme="minorHAnsi"/>
          <w:color w:val="auto"/>
          <w:szCs w:val="24"/>
          <w:lang w:eastAsia="en-US"/>
        </w:rPr>
        <w:t xml:space="preserve"> e a frutose com </w:t>
      </w:r>
      <w:r w:rsidRPr="00CE7FD0">
        <w:rPr>
          <w:rFonts w:eastAsiaTheme="minorHAnsi"/>
          <w:color w:val="auto"/>
          <w:szCs w:val="24"/>
          <w:lang w:eastAsia="en-US"/>
        </w:rPr>
        <w:t>2.89 ± 0.55 mg/ml</w:t>
      </w:r>
      <w:r>
        <w:rPr>
          <w:rFonts w:eastAsiaTheme="minorHAnsi"/>
          <w:color w:val="auto"/>
          <w:szCs w:val="24"/>
          <w:lang w:eastAsia="en-US"/>
        </w:rPr>
        <w:t>. Na polpa, novamente a glucose em maior quantidade com 27.75</w:t>
      </w:r>
      <w:r w:rsidRPr="00CE7FD0">
        <w:rPr>
          <w:rFonts w:eastAsiaTheme="minorHAnsi"/>
          <w:color w:val="auto"/>
          <w:szCs w:val="24"/>
          <w:lang w:eastAsia="en-US"/>
        </w:rPr>
        <w:t xml:space="preserve"> mg/ml</w:t>
      </w:r>
      <w:r w:rsidR="00047AA9">
        <w:rPr>
          <w:rFonts w:eastAsiaTheme="minorHAnsi"/>
          <w:color w:val="auto"/>
          <w:szCs w:val="24"/>
          <w:lang w:eastAsia="en-US"/>
        </w:rPr>
        <w:t xml:space="preserve">, depois a frutose com </w:t>
      </w:r>
      <w:r w:rsidR="00047AA9" w:rsidRPr="00CE7FD0">
        <w:rPr>
          <w:rFonts w:eastAsiaTheme="minorHAnsi"/>
          <w:color w:val="auto"/>
          <w:szCs w:val="24"/>
          <w:lang w:eastAsia="en-US"/>
        </w:rPr>
        <w:t>2.34 ± 0.31 mg/ml</w:t>
      </w:r>
      <w:r w:rsidR="00047AA9">
        <w:rPr>
          <w:rFonts w:eastAsiaTheme="minorHAnsi"/>
          <w:color w:val="auto"/>
          <w:szCs w:val="24"/>
          <w:lang w:eastAsia="en-US"/>
        </w:rPr>
        <w:t xml:space="preserve"> e a sacarose com </w:t>
      </w:r>
      <w:r w:rsidR="00047AA9" w:rsidRPr="00CE7FD0">
        <w:rPr>
          <w:rFonts w:eastAsiaTheme="minorHAnsi"/>
          <w:color w:val="auto"/>
          <w:szCs w:val="24"/>
          <w:lang w:eastAsia="en-US"/>
        </w:rPr>
        <w:t>2.12 ± 6.50 mg/ml</w:t>
      </w:r>
      <w:r w:rsidR="00047AA9">
        <w:rPr>
          <w:rFonts w:eastAsiaTheme="minorHAnsi"/>
          <w:color w:val="auto"/>
          <w:szCs w:val="24"/>
          <w:lang w:eastAsia="en-US"/>
        </w:rPr>
        <w:t>.</w:t>
      </w:r>
    </w:p>
    <w:p w14:paraId="5D99BD95" w14:textId="0C8A61D4" w:rsidR="00047AA9" w:rsidRDefault="00047AA9" w:rsidP="00CE7FD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Na cultivar ‘Rosso’, na casca verificou-se uma grande quantidade de glucose (</w:t>
      </w:r>
      <w:r w:rsidRPr="00CE7FD0">
        <w:rPr>
          <w:rFonts w:eastAsiaTheme="minorHAnsi"/>
          <w:color w:val="auto"/>
          <w:szCs w:val="24"/>
          <w:lang w:eastAsia="en-US"/>
        </w:rPr>
        <w:t>34.42 ± 0.71</w:t>
      </w:r>
      <w:r>
        <w:rPr>
          <w:rFonts w:eastAsiaTheme="minorHAnsi"/>
          <w:color w:val="auto"/>
          <w:szCs w:val="24"/>
          <w:lang w:eastAsia="en-US"/>
        </w:rPr>
        <w:t xml:space="preserve">), também detetado a sacarose e a frutose com </w:t>
      </w:r>
      <w:r w:rsidRPr="00CE7FD0">
        <w:rPr>
          <w:rFonts w:eastAsiaTheme="minorHAnsi"/>
          <w:color w:val="auto"/>
          <w:szCs w:val="24"/>
          <w:lang w:eastAsia="en-US"/>
        </w:rPr>
        <w:t>3.61 ± 3.68 mg/ml</w:t>
      </w:r>
      <w:r>
        <w:rPr>
          <w:rFonts w:eastAsiaTheme="minorHAnsi"/>
          <w:color w:val="auto"/>
          <w:szCs w:val="24"/>
          <w:lang w:eastAsia="en-US"/>
        </w:rPr>
        <w:t xml:space="preserve"> e </w:t>
      </w:r>
      <w:r w:rsidRPr="00CE7FD0">
        <w:rPr>
          <w:rFonts w:eastAsiaTheme="minorHAnsi"/>
          <w:color w:val="auto"/>
          <w:szCs w:val="24"/>
          <w:lang w:eastAsia="en-US"/>
        </w:rPr>
        <w:t>2.64 ± 0.21 mg/ml</w:t>
      </w:r>
      <w:r>
        <w:rPr>
          <w:rFonts w:eastAsiaTheme="minorHAnsi"/>
          <w:color w:val="auto"/>
          <w:szCs w:val="24"/>
          <w:lang w:eastAsia="en-US"/>
        </w:rPr>
        <w:t>, respetivamente.</w:t>
      </w:r>
    </w:p>
    <w:p w14:paraId="18FFF04F" w14:textId="7678D113" w:rsidR="007A12A1" w:rsidRDefault="00047AA9" w:rsidP="00CE7FD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Para a cultivar ‘Gialla’, obteve-se glucose (</w:t>
      </w:r>
      <w:r w:rsidRPr="00CE7FD0">
        <w:rPr>
          <w:rFonts w:eastAsiaTheme="minorHAnsi"/>
          <w:color w:val="auto"/>
          <w:szCs w:val="24"/>
          <w:lang w:eastAsia="en-US"/>
        </w:rPr>
        <w:t>32</w:t>
      </w:r>
      <w:r>
        <w:rPr>
          <w:rFonts w:eastAsiaTheme="minorHAnsi"/>
          <w:color w:val="auto"/>
          <w:szCs w:val="24"/>
          <w:lang w:eastAsia="en-US"/>
        </w:rPr>
        <w:t>.05± 0.62 mg/ml), sacarose (</w:t>
      </w:r>
      <w:r w:rsidRPr="00CE7FD0">
        <w:rPr>
          <w:rFonts w:eastAsiaTheme="minorHAnsi"/>
          <w:color w:val="auto"/>
          <w:szCs w:val="24"/>
          <w:lang w:eastAsia="en-US"/>
        </w:rPr>
        <w:t>4.02 ± 3.69 mg/ml</w:t>
      </w:r>
      <w:r>
        <w:rPr>
          <w:rFonts w:eastAsiaTheme="minorHAnsi"/>
          <w:color w:val="auto"/>
          <w:szCs w:val="24"/>
          <w:lang w:eastAsia="en-US"/>
        </w:rPr>
        <w:t>) e frutose (</w:t>
      </w:r>
      <w:r w:rsidRPr="00CE7FD0">
        <w:rPr>
          <w:rFonts w:eastAsiaTheme="minorHAnsi"/>
          <w:color w:val="auto"/>
          <w:szCs w:val="24"/>
          <w:lang w:eastAsia="en-US"/>
        </w:rPr>
        <w:t>2.80 ± 0.09 mg/ml</w:t>
      </w:r>
      <w:r>
        <w:rPr>
          <w:rFonts w:eastAsiaTheme="minorHAnsi"/>
          <w:color w:val="auto"/>
          <w:szCs w:val="24"/>
          <w:lang w:eastAsia="en-US"/>
        </w:rPr>
        <w:t>). Os mesmos se açucares se encontraram na polpa onde a glucose obteve 17.7</w:t>
      </w:r>
      <w:r w:rsidRPr="00CE7FD0">
        <w:rPr>
          <w:rFonts w:eastAsiaTheme="minorHAnsi"/>
          <w:color w:val="auto"/>
          <w:szCs w:val="24"/>
          <w:lang w:eastAsia="en-US"/>
        </w:rPr>
        <w:t xml:space="preserve"> ± </w:t>
      </w:r>
      <w:r>
        <w:rPr>
          <w:rFonts w:eastAsiaTheme="minorHAnsi"/>
          <w:color w:val="auto"/>
          <w:szCs w:val="24"/>
          <w:lang w:eastAsia="en-US"/>
        </w:rPr>
        <w:t>0.1</w:t>
      </w:r>
      <w:r w:rsidRPr="00CE7FD0">
        <w:rPr>
          <w:rFonts w:eastAsiaTheme="minorHAnsi"/>
          <w:color w:val="auto"/>
          <w:szCs w:val="24"/>
          <w:lang w:eastAsia="en-US"/>
        </w:rPr>
        <w:t xml:space="preserve"> mg/ml</w:t>
      </w:r>
      <w:r>
        <w:rPr>
          <w:rFonts w:eastAsiaTheme="minorHAnsi"/>
          <w:color w:val="auto"/>
          <w:szCs w:val="24"/>
          <w:lang w:eastAsia="en-US"/>
        </w:rPr>
        <w:t xml:space="preserve">, a sacarose </w:t>
      </w:r>
      <w:r w:rsidRPr="00CE7FD0">
        <w:rPr>
          <w:rFonts w:eastAsiaTheme="minorHAnsi"/>
          <w:color w:val="auto"/>
          <w:szCs w:val="24"/>
          <w:lang w:eastAsia="en-US"/>
        </w:rPr>
        <w:t>16.04 ± 6.46 mg/ml</w:t>
      </w:r>
      <w:r>
        <w:rPr>
          <w:rFonts w:eastAsiaTheme="minorHAnsi"/>
          <w:color w:val="auto"/>
          <w:szCs w:val="24"/>
          <w:lang w:eastAsia="en-US"/>
        </w:rPr>
        <w:t xml:space="preserve"> e com menos quantidade a frutose com </w:t>
      </w:r>
      <w:r w:rsidRPr="00CE7FD0">
        <w:rPr>
          <w:rFonts w:eastAsiaTheme="minorHAnsi"/>
          <w:color w:val="auto"/>
          <w:szCs w:val="24"/>
          <w:lang w:eastAsia="en-US"/>
        </w:rPr>
        <w:t>2.72 ± mg/ml</w:t>
      </w:r>
      <w:r>
        <w:rPr>
          <w:rFonts w:eastAsiaTheme="minorHAnsi"/>
          <w:color w:val="auto"/>
          <w:szCs w:val="24"/>
          <w:lang w:eastAsia="en-US"/>
        </w:rPr>
        <w:t>.</w:t>
      </w:r>
    </w:p>
    <w:p w14:paraId="7434DE5F" w14:textId="04ACEAA8" w:rsidR="00CE7FD0" w:rsidRPr="00CE7FD0" w:rsidRDefault="00454889" w:rsidP="00CE7FD0">
      <w:pPr>
        <w:widowControl w:val="0"/>
        <w:autoSpaceDE w:val="0"/>
        <w:autoSpaceDN w:val="0"/>
        <w:adjustRightInd w:val="0"/>
        <w:spacing w:after="160" w:line="360" w:lineRule="auto"/>
        <w:ind w:left="0" w:right="0" w:firstLine="0"/>
        <w:rPr>
          <w:rFonts w:eastAsiaTheme="minorHAnsi"/>
          <w:color w:val="auto"/>
          <w:szCs w:val="24"/>
          <w:lang w:eastAsia="en-US"/>
        </w:rPr>
      </w:pPr>
      <w:r>
        <w:rPr>
          <w:rFonts w:eastAsiaTheme="minorHAnsi"/>
          <w:color w:val="auto"/>
          <w:szCs w:val="24"/>
          <w:lang w:eastAsia="en-US"/>
        </w:rPr>
        <w:t xml:space="preserve">Os resultados mostram </w:t>
      </w:r>
      <w:r w:rsidR="00CE7FD0" w:rsidRPr="00CE7FD0">
        <w:rPr>
          <w:rFonts w:eastAsiaTheme="minorHAnsi"/>
          <w:color w:val="auto"/>
          <w:szCs w:val="24"/>
          <w:lang w:eastAsia="en-US"/>
        </w:rPr>
        <w:t>que a glucose apresentou maior concentração na casca de quase todas as cultivares/ecóti</w:t>
      </w:r>
      <w:r w:rsidR="00676F1F">
        <w:rPr>
          <w:rFonts w:eastAsiaTheme="minorHAnsi"/>
          <w:color w:val="auto"/>
          <w:szCs w:val="24"/>
          <w:lang w:eastAsia="en-US"/>
        </w:rPr>
        <w:t xml:space="preserve">pos exceto na cultivar </w:t>
      </w:r>
      <w:r w:rsidR="00CE7FD0" w:rsidRPr="00CE7FD0">
        <w:rPr>
          <w:rFonts w:eastAsiaTheme="minorHAnsi"/>
          <w:color w:val="auto"/>
          <w:szCs w:val="24"/>
          <w:lang w:eastAsia="en-US"/>
        </w:rPr>
        <w:t xml:space="preserve">’Rosso’ cuja polpa teve maior concentração de glucose do que a polpa. </w:t>
      </w:r>
    </w:p>
    <w:p w14:paraId="2B43DED2" w14:textId="1E520896"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Resultados de </w:t>
      </w:r>
      <w:r w:rsidRPr="00CE7FD0">
        <w:rPr>
          <w:rFonts w:eastAsiaTheme="minorHAnsi"/>
          <w:color w:val="auto"/>
          <w:szCs w:val="24"/>
          <w:lang w:eastAsia="en-US"/>
        </w:rPr>
        <w:fldChar w:fldCharType="begin" w:fldLock="1"/>
      </w:r>
      <w:r w:rsidRPr="00CE7FD0">
        <w:rPr>
          <w:rFonts w:eastAsiaTheme="minorHAnsi"/>
          <w:color w:val="auto"/>
          <w:szCs w:val="24"/>
          <w:lang w:eastAsia="en-US"/>
        </w:rPr>
        <w:instrText>ADDIN CSL_CITATION { "citationItems" : [ { "id" : "ITEM-1", "itemData" : { "author" : [ { "dropping-particle" : "", "family" : "Kuti", "given" : "J. O.", "non-dropping-particle" : "", "parse-names" : false, "suffix" : "" }, { "dropping-particle" : "", "family" : "Galloway", "given" : "C. M.", "non-dropping-particle" : "", "parse-names" : false, "suffix" : "" } ], "container-title" : "Journal of food science", "id" : "ITEM-1", "issue" : "2", "issued" : { "date-parts" : [ [ "1994" ] ] }, "page" : "387 - 388", "title" : "Sugar Composition and lnvertase Activity in Prickly Pear Fruit", "type" : "article-journal", "volume" : "59" }, "uris" : [ "http://www.mendeley.com/documents/?uuid=ff1e4481-d960-451b-8ee4-97845d9704d7" ] } ], "mendeley" : { "formattedCitation" : "(Kuti &amp; Galloway, 1994)", "manualFormatting" : "Kuti &amp; Galloway (1994)", "plainTextFormattedCitation" : "(Kuti &amp; Galloway, 1994)", "previouslyFormattedCitation" : "(Kuti &amp; Galloway, 1994)" }, "properties" : { "noteIndex" : 0 }, "schema" : "https://github.com/citation-style-language/schema/raw/master/csl-citation.json" }</w:instrText>
      </w:r>
      <w:r w:rsidRPr="00CE7FD0">
        <w:rPr>
          <w:rFonts w:eastAsiaTheme="minorHAnsi"/>
          <w:color w:val="auto"/>
          <w:szCs w:val="24"/>
          <w:lang w:eastAsia="en-US"/>
        </w:rPr>
        <w:fldChar w:fldCharType="separate"/>
      </w:r>
      <w:r w:rsidRPr="00CE7FD0">
        <w:rPr>
          <w:rFonts w:eastAsiaTheme="minorHAnsi"/>
          <w:noProof/>
          <w:color w:val="auto"/>
          <w:szCs w:val="24"/>
          <w:lang w:eastAsia="en-US"/>
        </w:rPr>
        <w:t>Kuti &amp; Galloway (1994)</w:t>
      </w:r>
      <w:r w:rsidRPr="00CE7FD0">
        <w:rPr>
          <w:rFonts w:eastAsiaTheme="minorHAnsi"/>
          <w:color w:val="auto"/>
          <w:szCs w:val="24"/>
          <w:lang w:eastAsia="en-US"/>
        </w:rPr>
        <w:fldChar w:fldCharType="end"/>
      </w:r>
      <w:r w:rsidRPr="00CE7FD0">
        <w:rPr>
          <w:rFonts w:eastAsiaTheme="minorHAnsi"/>
          <w:color w:val="auto"/>
          <w:szCs w:val="24"/>
          <w:lang w:eastAsia="en-US"/>
        </w:rPr>
        <w:t xml:space="preserve"> referem a sacarose como o açúcar predominante </w:t>
      </w:r>
      <w:r w:rsidR="00F54C57">
        <w:rPr>
          <w:rFonts w:eastAsiaTheme="minorHAnsi"/>
          <w:color w:val="auto"/>
          <w:szCs w:val="24"/>
          <w:lang w:eastAsia="en-US"/>
        </w:rPr>
        <w:t>d</w:t>
      </w:r>
      <w:r w:rsidRPr="00CE7FD0">
        <w:rPr>
          <w:rFonts w:eastAsiaTheme="minorHAnsi"/>
          <w:color w:val="auto"/>
          <w:szCs w:val="24"/>
          <w:lang w:eastAsia="en-US"/>
        </w:rPr>
        <w:t xml:space="preserve">o figo-da-índia, isto não se verificou no nosso estudo. </w:t>
      </w:r>
    </w:p>
    <w:p w14:paraId="6B3AC085" w14:textId="77777777"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Segundo </w:t>
      </w:r>
      <w:r w:rsidRPr="00CE7FD0">
        <w:rPr>
          <w:rFonts w:eastAsiaTheme="minorHAnsi"/>
          <w:color w:val="auto"/>
          <w:szCs w:val="24"/>
          <w:lang w:eastAsia="en-US"/>
        </w:rPr>
        <w:fldChar w:fldCharType="begin" w:fldLock="1"/>
      </w:r>
      <w:r w:rsidRPr="00CE7FD0">
        <w:rPr>
          <w:rFonts w:eastAsiaTheme="minorHAnsi"/>
          <w:color w:val="auto"/>
          <w:szCs w:val="24"/>
          <w:lang w:eastAsia="en-US"/>
        </w:rPr>
        <w:instrText>ADDIN CSL_CITATION { "citationItems" : [ { "id" : "ITEM-1", "itemData" : { "DOI" : "10.1111/j.1365-2621.1993.tb01284.x", "author" : [ { "dropping-particle" : "", "family" : "Joubert", "given" : "Elizabeth", "non-dropping-particle" : "", "parse-names" : false, "suffix" : "" } ], "container-title" : "Food Science and Technology", "id" : "ITEM-1", "issue" : "4", "issued" : { "date-parts" : [ [ "1993" ] ] }, "page" : "377-387", "title" : "Processing of the fruit of five prickly pear cultivars grown in South Africa", "type" : "article-journal", "volume" : "28" }, "uris" : [ "http://www.mendeley.com/documents/?uuid=f092f5f4-4efe-400d-8d61-8fb4e4ab6d92" ] } ], "mendeley" : { "formattedCitation" : "(Joubert, 1993)", "manualFormatting" : "Joubert (1993)", "plainTextFormattedCitation" : "(Joubert, 1993)", "previouslyFormattedCitation" : "(Joubert, 1993)" }, "properties" : { "noteIndex" : 0 }, "schema" : "https://github.com/citation-style-language/schema/raw/master/csl-citation.json" }</w:instrText>
      </w:r>
      <w:r w:rsidRPr="00CE7FD0">
        <w:rPr>
          <w:rFonts w:eastAsiaTheme="minorHAnsi"/>
          <w:color w:val="auto"/>
          <w:szCs w:val="24"/>
          <w:lang w:eastAsia="en-US"/>
        </w:rPr>
        <w:fldChar w:fldCharType="separate"/>
      </w:r>
      <w:r w:rsidRPr="00CE7FD0">
        <w:rPr>
          <w:rFonts w:eastAsiaTheme="minorHAnsi"/>
          <w:noProof/>
          <w:color w:val="auto"/>
          <w:szCs w:val="24"/>
          <w:lang w:eastAsia="en-US"/>
        </w:rPr>
        <w:t>Joubert (1993)</w:t>
      </w:r>
      <w:r w:rsidRPr="00CE7FD0">
        <w:rPr>
          <w:rFonts w:eastAsiaTheme="minorHAnsi"/>
          <w:color w:val="auto"/>
          <w:szCs w:val="24"/>
          <w:lang w:eastAsia="en-US"/>
        </w:rPr>
        <w:fldChar w:fldCharType="end"/>
      </w:r>
      <w:r w:rsidRPr="00CE7FD0">
        <w:rPr>
          <w:rFonts w:eastAsiaTheme="minorHAnsi"/>
          <w:color w:val="auto"/>
          <w:szCs w:val="24"/>
          <w:lang w:eastAsia="en-US"/>
        </w:rPr>
        <w:t xml:space="preserve"> os figos da </w:t>
      </w:r>
      <w:r w:rsidR="00542CFE" w:rsidRPr="00CE7FD0">
        <w:rPr>
          <w:rFonts w:eastAsiaTheme="minorHAnsi"/>
          <w:color w:val="auto"/>
          <w:szCs w:val="24"/>
          <w:lang w:eastAsia="en-US"/>
        </w:rPr>
        <w:t>índia</w:t>
      </w:r>
      <w:r w:rsidRPr="00CE7FD0">
        <w:rPr>
          <w:rFonts w:eastAsiaTheme="minorHAnsi"/>
          <w:color w:val="auto"/>
          <w:szCs w:val="24"/>
          <w:lang w:eastAsia="en-US"/>
        </w:rPr>
        <w:t xml:space="preserve"> contêm aproximadamente os mesmos teores de frutose e glucose na polpa, mas isso não se verificou em todas as cultivares em estudo.</w:t>
      </w:r>
    </w:p>
    <w:p w14:paraId="47F8981D" w14:textId="77777777"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Perante os resultados apresentados e com a analise estatística pela ANOVA, não existem diferenças significativas entre as cultivares para os diferentes tipos de açúcares encontrados (</w:t>
      </w:r>
      <w:proofErr w:type="gramStart"/>
      <w:r w:rsidRPr="00CE7FD0">
        <w:rPr>
          <w:rFonts w:eastAsiaTheme="minorHAnsi"/>
          <w:color w:val="auto"/>
          <w:szCs w:val="24"/>
          <w:lang w:eastAsia="en-US"/>
        </w:rPr>
        <w:t>p&gt;0.</w:t>
      </w:r>
      <w:proofErr w:type="gramEnd"/>
      <w:r w:rsidRPr="00CE7FD0">
        <w:rPr>
          <w:rFonts w:eastAsiaTheme="minorHAnsi"/>
          <w:color w:val="auto"/>
          <w:szCs w:val="24"/>
          <w:lang w:eastAsia="en-US"/>
        </w:rPr>
        <w:t xml:space="preserve">05), no entanto existem diferenças significativas entre as diferentes partes do fruto relativamente à frutose (p&lt;0.05) este resultado é coerente com a pesquisa de </w:t>
      </w:r>
      <w:r w:rsidRPr="00CE7FD0">
        <w:rPr>
          <w:rFonts w:eastAsiaTheme="minorHAnsi"/>
          <w:color w:val="auto"/>
          <w:szCs w:val="24"/>
          <w:lang w:eastAsia="en-US"/>
        </w:rPr>
        <w:fldChar w:fldCharType="begin" w:fldLock="1"/>
      </w:r>
      <w:r w:rsidRPr="00CE7FD0">
        <w:rPr>
          <w:rFonts w:eastAsiaTheme="minorHAnsi"/>
          <w:color w:val="auto"/>
          <w:szCs w:val="24"/>
          <w:lang w:eastAsia="en-US"/>
        </w:rPr>
        <w:instrText>ADDIN CSL_CITATION { "citationItems" : [ { "id" : "ITEM-1", "itemData" : { "author" : [ { "dropping-particle" : "", "family" : "Kuti", "given" : "J. O.", "non-dropping-particle" : "", "parse-names" : false, "suffix" : "" }, { "dropping-particle" : "", "family" : "Galloway", "given" : "C. M.", "non-dropping-particle" : "", "parse-names" : false, "suffix" : "" } ], "container-title" : "Journal of food science", "id" : "ITEM-1", "issue" : "2", "issued" : { "date-parts" : [ [ "1994" ] ] }, "page" : "387 - 388", "title" : "Sugar Composition and lnvertase Activity in Prickly Pear Fruit", "type" : "article-journal", "volume" : "59" }, "uris" : [ "http://www.mendeley.com/documents/?uuid=ff1e4481-d960-451b-8ee4-97845d9704d7" ] } ], "mendeley" : { "formattedCitation" : "(Kuti &amp; Galloway, 1994)", "manualFormatting" : "Kuti &amp; Galloway (1994)", "plainTextFormattedCitation" : "(Kuti &amp; Galloway, 1994)", "previouslyFormattedCitation" : "(Kuti &amp; Galloway, 1994)" }, "properties" : { "noteIndex" : 0 }, "schema" : "https://github.com/citation-style-language/schema/raw/master/csl-citation.json" }</w:instrText>
      </w:r>
      <w:r w:rsidRPr="00CE7FD0">
        <w:rPr>
          <w:rFonts w:eastAsiaTheme="minorHAnsi"/>
          <w:color w:val="auto"/>
          <w:szCs w:val="24"/>
          <w:lang w:eastAsia="en-US"/>
        </w:rPr>
        <w:fldChar w:fldCharType="separate"/>
      </w:r>
      <w:r w:rsidRPr="00CE7FD0">
        <w:rPr>
          <w:rFonts w:eastAsiaTheme="minorHAnsi"/>
          <w:noProof/>
          <w:color w:val="auto"/>
          <w:szCs w:val="24"/>
          <w:lang w:eastAsia="en-US"/>
        </w:rPr>
        <w:t>Kuti &amp; Galloway (1994)</w:t>
      </w:r>
      <w:r w:rsidRPr="00CE7FD0">
        <w:rPr>
          <w:rFonts w:eastAsiaTheme="minorHAnsi"/>
          <w:color w:val="auto"/>
          <w:szCs w:val="24"/>
          <w:lang w:eastAsia="en-US"/>
        </w:rPr>
        <w:fldChar w:fldCharType="end"/>
      </w:r>
      <w:r w:rsidRPr="00CE7FD0">
        <w:rPr>
          <w:rFonts w:eastAsiaTheme="minorHAnsi"/>
          <w:color w:val="auto"/>
          <w:szCs w:val="24"/>
          <w:lang w:eastAsia="en-US"/>
        </w:rPr>
        <w:t>, só não se verificou a diferença significativa entre a casca e a polpa no caso da sacarose.</w:t>
      </w:r>
    </w:p>
    <w:p w14:paraId="26F07CA9" w14:textId="77777777"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Perante todos os resultados é possível afirmar que a cultivar que contém maior concentração de açúcares é a ‘Gialla’ e menores quantidades é o ecótipo ‘laranja’.</w:t>
      </w:r>
    </w:p>
    <w:p w14:paraId="72EB16FD" w14:textId="77777777" w:rsidR="00CE7FD0" w:rsidRDefault="00CE7FD0" w:rsidP="00CE7FD0">
      <w:pPr>
        <w:keepNext/>
      </w:pPr>
      <w:r>
        <w:rPr>
          <w:noProof/>
        </w:rPr>
        <w:lastRenderedPageBreak/>
        <w:drawing>
          <wp:inline distT="0" distB="0" distL="0" distR="0" wp14:anchorId="1EE550EE" wp14:editId="71728719">
            <wp:extent cx="4572000" cy="2743200"/>
            <wp:effectExtent l="0" t="0" r="0" b="0"/>
            <wp:docPr id="243" name="Gráfico 243">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4AE710E-4248-4C14-B2D3-E3A76B06A7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3FDDDF92" w14:textId="028B4B98" w:rsidR="00CE7FD0" w:rsidRPr="006C2067" w:rsidRDefault="00CE7FD0" w:rsidP="00CE7FD0">
      <w:pPr>
        <w:pStyle w:val="Legenda"/>
        <w:rPr>
          <w:rFonts w:eastAsiaTheme="minorHAnsi"/>
          <w:i w:val="0"/>
          <w:color w:val="auto"/>
          <w:sz w:val="20"/>
          <w:lang w:eastAsia="en-US"/>
        </w:rPr>
      </w:pPr>
      <w:bookmarkStart w:id="327" w:name="_Toc479333904"/>
      <w:r>
        <w:t xml:space="preserve">Figura </w:t>
      </w:r>
      <w:r w:rsidR="00805B44">
        <w:fldChar w:fldCharType="begin"/>
      </w:r>
      <w:r w:rsidR="00805B44">
        <w:instrText xml:space="preserve"> SEQ Figura \* ARABIC </w:instrText>
      </w:r>
      <w:r w:rsidR="00805B44">
        <w:fldChar w:fldCharType="separate"/>
      </w:r>
      <w:r w:rsidR="005F28B4">
        <w:rPr>
          <w:noProof/>
        </w:rPr>
        <w:t>29</w:t>
      </w:r>
      <w:r w:rsidR="00805B44">
        <w:rPr>
          <w:noProof/>
        </w:rPr>
        <w:fldChar w:fldCharType="end"/>
      </w:r>
      <w:r>
        <w:t xml:space="preserve"> </w:t>
      </w:r>
      <w:r w:rsidRPr="006C2067">
        <w:rPr>
          <w:i w:val="0"/>
          <w:sz w:val="20"/>
        </w:rPr>
        <w:t xml:space="preserve">- </w:t>
      </w:r>
      <w:r w:rsidRPr="006C2067">
        <w:rPr>
          <w:rFonts w:eastAsiaTheme="minorHAnsi"/>
          <w:i w:val="0"/>
          <w:color w:val="auto"/>
          <w:sz w:val="20"/>
          <w:lang w:eastAsia="en-US"/>
        </w:rPr>
        <w:t>Quantificação dos</w:t>
      </w:r>
      <w:r w:rsidR="009A72E6">
        <w:rPr>
          <w:rFonts w:eastAsiaTheme="minorHAnsi"/>
          <w:i w:val="0"/>
          <w:color w:val="auto"/>
          <w:sz w:val="20"/>
          <w:lang w:eastAsia="en-US"/>
        </w:rPr>
        <w:t xml:space="preserve"> </w:t>
      </w:r>
      <w:proofErr w:type="gramStart"/>
      <w:r w:rsidR="009A72E6">
        <w:rPr>
          <w:rFonts w:eastAsiaTheme="minorHAnsi"/>
          <w:i w:val="0"/>
          <w:color w:val="auto"/>
          <w:sz w:val="20"/>
          <w:lang w:eastAsia="en-US"/>
        </w:rPr>
        <w:t>açucares</w:t>
      </w:r>
      <w:proofErr w:type="gramEnd"/>
      <w:r w:rsidR="009A72E6">
        <w:rPr>
          <w:rFonts w:eastAsiaTheme="minorHAnsi"/>
          <w:i w:val="0"/>
          <w:color w:val="auto"/>
          <w:sz w:val="20"/>
          <w:lang w:eastAsia="en-US"/>
        </w:rPr>
        <w:t xml:space="preserve"> detetados por HPLC</w:t>
      </w:r>
      <w:r w:rsidRPr="006C2067">
        <w:rPr>
          <w:rFonts w:eastAsiaTheme="minorHAnsi"/>
          <w:i w:val="0"/>
          <w:color w:val="auto"/>
          <w:sz w:val="20"/>
          <w:lang w:eastAsia="en-US"/>
        </w:rPr>
        <w:t xml:space="preserve"> das diferentes cultivares de figo-da-índia.</w:t>
      </w:r>
      <w:bookmarkEnd w:id="327"/>
    </w:p>
    <w:p w14:paraId="3DD6C107" w14:textId="77777777" w:rsidR="00CE7FD0" w:rsidRDefault="00CE7FD0" w:rsidP="00CE7FD0">
      <w:pPr>
        <w:pStyle w:val="Legenda"/>
      </w:pPr>
    </w:p>
    <w:p w14:paraId="72B7ECFA" w14:textId="57872B8B" w:rsidR="00CE7FD0" w:rsidRPr="00CE7FD0" w:rsidRDefault="00CE7FD0" w:rsidP="00CE7FD0">
      <w:pPr>
        <w:pStyle w:val="Cabealho3"/>
        <w:rPr>
          <w:rFonts w:ascii="Times New Roman" w:hAnsi="Times New Roman" w:cs="Times New Roman"/>
          <w:color w:val="auto"/>
          <w:lang w:eastAsia="en-US"/>
        </w:rPr>
      </w:pPr>
      <w:bookmarkStart w:id="328" w:name="_Toc462709800"/>
      <w:bookmarkStart w:id="329" w:name="_Toc479154877"/>
      <w:r w:rsidRPr="00CE7FD0">
        <w:rPr>
          <w:rFonts w:ascii="Times New Roman" w:hAnsi="Times New Roman" w:cs="Times New Roman"/>
          <w:color w:val="auto"/>
          <w:lang w:eastAsia="en-US"/>
        </w:rPr>
        <w:t>3.1.</w:t>
      </w:r>
      <w:r w:rsidR="00D0590E">
        <w:rPr>
          <w:rFonts w:ascii="Times New Roman" w:hAnsi="Times New Roman" w:cs="Times New Roman"/>
          <w:color w:val="auto"/>
          <w:lang w:eastAsia="en-US"/>
        </w:rPr>
        <w:t>8</w:t>
      </w:r>
      <w:r w:rsidRPr="00CE7FD0">
        <w:rPr>
          <w:rFonts w:ascii="Times New Roman" w:hAnsi="Times New Roman" w:cs="Times New Roman"/>
          <w:color w:val="auto"/>
          <w:lang w:eastAsia="en-US"/>
        </w:rPr>
        <w:t xml:space="preserve"> Teor de fibra</w:t>
      </w:r>
      <w:bookmarkEnd w:id="328"/>
      <w:bookmarkEnd w:id="329"/>
    </w:p>
    <w:p w14:paraId="150B1EF2" w14:textId="77777777" w:rsidR="00CE7FD0" w:rsidRPr="00CE7FD0" w:rsidRDefault="00CE7FD0" w:rsidP="00CE7FD0">
      <w:pPr>
        <w:rPr>
          <w:rFonts w:eastAsiaTheme="minorHAnsi"/>
          <w:lang w:eastAsia="en-US"/>
        </w:rPr>
      </w:pPr>
    </w:p>
    <w:p w14:paraId="5E110FC2" w14:textId="0D32F888"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A fibra dietética é uma parte comestível das plantas que inclui polissacarídeos, oligossacarideos e ligninas </w:t>
      </w:r>
      <w:r w:rsidRPr="00CE7FD0">
        <w:rPr>
          <w:rFonts w:eastAsiaTheme="minorHAnsi"/>
          <w:color w:val="auto"/>
          <w:szCs w:val="24"/>
          <w:lang w:eastAsia="en-US"/>
        </w:rPr>
        <w:fldChar w:fldCharType="begin" w:fldLock="1"/>
      </w:r>
      <w:r w:rsidRPr="00CE7FD0">
        <w:rPr>
          <w:rFonts w:eastAsiaTheme="minorHAnsi"/>
          <w:color w:val="auto"/>
          <w:szCs w:val="24"/>
          <w:lang w:eastAsia="en-US"/>
        </w:rPr>
        <w:instrText>ADDIN CSL_CITATION { "citationItems" : [ { "id" : "ITEM-1", "itemData" : { "ISSN" : "01466283", "abstract" : "American Association of Cereal Chemist (AACC). 2001. The Definition of Dietary Fiber . Cereal Foods. World.", "author" : [ { "dropping-particle" : "", "family" : "DeVries", "given" : "J. W.", "non-dropping-particle" : "", "parse-names" : false, "suffix" : "" } ], "container-title" : "Cereal Foods World", "id" : "ITEM-1", "issue" : "3", "issued" : { "date-parts" : [ [ "2001" ] ] }, "page" : "112-129", "title" : "The definition of dietary fibre", "type" : "article-journal", "volume" : "46" }, "uris" : [ "http://www.mendeley.com/documents/?uuid=2eef9071-ebcb-4ba8-87f1-75d6958d46d1" ] } ], "mendeley" : { "formattedCitation" : "(DeVries, 2001)", "plainTextFormattedCitation" : "(DeVries, 2001)", "previouslyFormattedCitation" : "(DeVries, 2001)" }, "properties" : { "noteIndex" : 0 }, "schema" : "https://github.com/citation-style-language/schema/raw/master/csl-citation.json" }</w:instrText>
      </w:r>
      <w:r w:rsidRPr="00CE7FD0">
        <w:rPr>
          <w:rFonts w:eastAsiaTheme="minorHAnsi"/>
          <w:color w:val="auto"/>
          <w:szCs w:val="24"/>
          <w:lang w:eastAsia="en-US"/>
        </w:rPr>
        <w:fldChar w:fldCharType="separate"/>
      </w:r>
      <w:r w:rsidRPr="00CE7FD0">
        <w:rPr>
          <w:rFonts w:eastAsiaTheme="minorHAnsi"/>
          <w:noProof/>
          <w:color w:val="auto"/>
          <w:szCs w:val="24"/>
          <w:lang w:eastAsia="en-US"/>
        </w:rPr>
        <w:t>(DeVries, 2001)</w:t>
      </w:r>
      <w:r w:rsidRPr="00CE7FD0">
        <w:rPr>
          <w:rFonts w:eastAsiaTheme="minorHAnsi"/>
          <w:color w:val="auto"/>
          <w:szCs w:val="24"/>
          <w:lang w:eastAsia="en-US"/>
        </w:rPr>
        <w:fldChar w:fldCharType="end"/>
      </w:r>
      <w:r w:rsidRPr="00CE7FD0">
        <w:rPr>
          <w:rFonts w:eastAsiaTheme="minorHAnsi"/>
          <w:color w:val="auto"/>
          <w:szCs w:val="24"/>
          <w:lang w:eastAsia="en-US"/>
        </w:rPr>
        <w:t xml:space="preserve">. As medições de fibras alimentares são importantes para a avaliação dos seus potenciais terapêuticos </w:t>
      </w:r>
      <w:r w:rsidRPr="00CE7FD0">
        <w:rPr>
          <w:rFonts w:eastAsiaTheme="minorHAnsi"/>
          <w:color w:val="auto"/>
          <w:szCs w:val="24"/>
          <w:lang w:eastAsia="en-US"/>
        </w:rPr>
        <w:fldChar w:fldCharType="begin" w:fldLock="1"/>
      </w:r>
      <w:r w:rsidR="00D413A1">
        <w:rPr>
          <w:rFonts w:eastAsiaTheme="minorHAnsi"/>
          <w:color w:val="auto"/>
          <w:szCs w:val="24"/>
          <w:lang w:eastAsia="en-US"/>
        </w:rPr>
        <w:instrText>ADDIN CSL_CITATION { "citationItems" : [ { "id" : "ITEM-1", "itemData" : { "author" : [ { "dropping-particle" : "", "family" : "Anderson, J. W., &amp; Bridge", "given" : "S. R.", "non-dropping-particle" : "", "parse-names" : false, "suffix" : "" } ], "container-title" : "American Journal of Clinical Nutrition", "id" : "ITEM-1", "issued" : { "date-parts" : [ [ "1988" ] ] }, "page" : "440-448", "title" : "Dietary fiber content of selected food", "type" : "article-journal" }, "uris" : [ "http://www.mendeley.com/documents/?uuid=0556aaf5-ba2d-4b76-b518-2c98aa943214" ] } ], "mendeley" : { "formattedCitation" : "(Anderson, J. W., &amp; Bridge, 1988)", "manualFormatting" : "(Anderson et al., 1988)", "plainTextFormattedCitation" : "(Anderson, J. W., &amp; Bridge, 1988)", "previouslyFormattedCitation" : "(Anderson, J. W., &amp; Bridge, 1988)" }, "properties" : { "noteIndex" : 0 }, "schema" : "https://github.com/citation-style-language/schema/raw/master/csl-citation.json" }</w:instrText>
      </w:r>
      <w:r w:rsidRPr="00CE7FD0">
        <w:rPr>
          <w:rFonts w:eastAsiaTheme="minorHAnsi"/>
          <w:color w:val="auto"/>
          <w:szCs w:val="24"/>
          <w:lang w:eastAsia="en-US"/>
        </w:rPr>
        <w:fldChar w:fldCharType="separate"/>
      </w:r>
      <w:r w:rsidR="00D413A1">
        <w:rPr>
          <w:rFonts w:eastAsiaTheme="minorHAnsi"/>
          <w:noProof/>
          <w:color w:val="auto"/>
          <w:szCs w:val="24"/>
          <w:lang w:eastAsia="en-US"/>
        </w:rPr>
        <w:t>(Anderson et al.</w:t>
      </w:r>
      <w:r w:rsidRPr="00CE7FD0">
        <w:rPr>
          <w:rFonts w:eastAsiaTheme="minorHAnsi"/>
          <w:noProof/>
          <w:color w:val="auto"/>
          <w:szCs w:val="24"/>
          <w:lang w:eastAsia="en-US"/>
        </w:rPr>
        <w:t>, 1988)</w:t>
      </w:r>
      <w:r w:rsidRPr="00CE7FD0">
        <w:rPr>
          <w:rFonts w:eastAsiaTheme="minorHAnsi"/>
          <w:color w:val="auto"/>
          <w:szCs w:val="24"/>
          <w:lang w:eastAsia="en-US"/>
        </w:rPr>
        <w:fldChar w:fldCharType="end"/>
      </w:r>
      <w:r w:rsidRPr="00CE7FD0">
        <w:rPr>
          <w:rFonts w:eastAsiaTheme="minorHAnsi"/>
          <w:color w:val="auto"/>
          <w:szCs w:val="24"/>
          <w:lang w:eastAsia="en-US"/>
        </w:rPr>
        <w:t>.</w:t>
      </w:r>
      <w:r w:rsidR="00D413A1">
        <w:rPr>
          <w:rFonts w:eastAsiaTheme="minorHAnsi"/>
          <w:color w:val="auto"/>
          <w:szCs w:val="24"/>
          <w:lang w:eastAsia="en-US"/>
        </w:rPr>
        <w:t xml:space="preserve"> </w:t>
      </w:r>
      <w:r w:rsidRPr="00CE7FD0">
        <w:rPr>
          <w:rFonts w:eastAsiaTheme="minorHAnsi"/>
          <w:color w:val="auto"/>
          <w:szCs w:val="24"/>
          <w:lang w:eastAsia="en-US"/>
        </w:rPr>
        <w:t>Analisando o gráfico da figura 30 é percetível a diferença entre a casca e a polpa, onde a polpa alcança os melhores resultados. Esta diferença mostrou ser significativa pela analise da ANOVA (</w:t>
      </w:r>
      <w:proofErr w:type="gramStart"/>
      <w:r w:rsidRPr="00CE7FD0">
        <w:rPr>
          <w:rFonts w:eastAsiaTheme="minorHAnsi"/>
          <w:color w:val="auto"/>
          <w:szCs w:val="24"/>
          <w:lang w:eastAsia="en-US"/>
        </w:rPr>
        <w:t>p&lt;0.</w:t>
      </w:r>
      <w:proofErr w:type="gramEnd"/>
      <w:r w:rsidRPr="00CE7FD0">
        <w:rPr>
          <w:rFonts w:eastAsiaTheme="minorHAnsi"/>
          <w:color w:val="auto"/>
          <w:szCs w:val="24"/>
          <w:lang w:eastAsia="en-US"/>
        </w:rPr>
        <w:t>05).</w:t>
      </w:r>
    </w:p>
    <w:p w14:paraId="4F965E44" w14:textId="6599F458"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A polpa do ecótipo ‘verde’ apresentou os teores </w:t>
      </w:r>
      <w:r w:rsidR="003C435A">
        <w:rPr>
          <w:rFonts w:eastAsiaTheme="minorHAnsi"/>
          <w:color w:val="auto"/>
          <w:szCs w:val="24"/>
          <w:lang w:eastAsia="en-US"/>
        </w:rPr>
        <w:t>mais elevados de fibra (55.32</w:t>
      </w:r>
      <w:r w:rsidRPr="00CE7FD0">
        <w:rPr>
          <w:rFonts w:eastAsiaTheme="minorHAnsi"/>
          <w:color w:val="auto"/>
          <w:szCs w:val="24"/>
          <w:lang w:eastAsia="en-US"/>
        </w:rPr>
        <w:t xml:space="preserve"> ± 7</w:t>
      </w:r>
      <w:r w:rsidR="00D413A1">
        <w:rPr>
          <w:rFonts w:eastAsiaTheme="minorHAnsi"/>
          <w:color w:val="auto"/>
          <w:szCs w:val="24"/>
          <w:lang w:eastAsia="en-US"/>
        </w:rPr>
        <w:t>.13 %), com valores próximos</w:t>
      </w:r>
      <w:r w:rsidR="003C435A">
        <w:rPr>
          <w:rFonts w:eastAsiaTheme="minorHAnsi"/>
          <w:color w:val="auto"/>
          <w:szCs w:val="24"/>
          <w:lang w:eastAsia="en-US"/>
        </w:rPr>
        <w:t xml:space="preserve"> </w:t>
      </w:r>
      <w:r w:rsidR="00D413A1">
        <w:rPr>
          <w:rFonts w:eastAsiaTheme="minorHAnsi"/>
          <w:color w:val="auto"/>
          <w:szCs w:val="24"/>
          <w:lang w:eastAsia="en-US"/>
        </w:rPr>
        <w:t xml:space="preserve">esteve </w:t>
      </w:r>
      <w:r w:rsidR="003C435A">
        <w:rPr>
          <w:rFonts w:eastAsiaTheme="minorHAnsi"/>
          <w:color w:val="auto"/>
          <w:szCs w:val="24"/>
          <w:lang w:eastAsia="en-US"/>
        </w:rPr>
        <w:t>a cultivar ‘Rosso’ (53.25</w:t>
      </w:r>
      <w:r w:rsidRPr="00CE7FD0">
        <w:rPr>
          <w:rFonts w:eastAsiaTheme="minorHAnsi"/>
          <w:color w:val="auto"/>
          <w:szCs w:val="24"/>
          <w:lang w:eastAsia="en-US"/>
        </w:rPr>
        <w:t xml:space="preserve"> ± 8.21%), seguiu-s</w:t>
      </w:r>
      <w:r w:rsidR="003C435A">
        <w:rPr>
          <w:rFonts w:eastAsiaTheme="minorHAnsi"/>
          <w:color w:val="auto"/>
          <w:szCs w:val="24"/>
          <w:lang w:eastAsia="en-US"/>
        </w:rPr>
        <w:t>e a cultivar ‘Gialla’ (40.31</w:t>
      </w:r>
      <w:r w:rsidRPr="00CE7FD0">
        <w:rPr>
          <w:rFonts w:eastAsiaTheme="minorHAnsi"/>
          <w:color w:val="auto"/>
          <w:szCs w:val="24"/>
          <w:lang w:eastAsia="en-US"/>
        </w:rPr>
        <w:t>± 13.5%) e com menor teor de fibra te</w:t>
      </w:r>
      <w:r w:rsidR="003C435A">
        <w:rPr>
          <w:rFonts w:eastAsiaTheme="minorHAnsi"/>
          <w:color w:val="auto"/>
          <w:szCs w:val="24"/>
          <w:lang w:eastAsia="en-US"/>
        </w:rPr>
        <w:t>mos o ecótipo ‘laranja’ (35.70</w:t>
      </w:r>
      <w:r w:rsidRPr="00CE7FD0">
        <w:rPr>
          <w:rFonts w:eastAsiaTheme="minorHAnsi"/>
          <w:color w:val="auto"/>
          <w:szCs w:val="24"/>
          <w:lang w:eastAsia="en-US"/>
        </w:rPr>
        <w:t xml:space="preserve"> ± 4.52%).</w:t>
      </w:r>
      <w:r w:rsidR="00A9472C">
        <w:rPr>
          <w:rFonts w:eastAsiaTheme="minorHAnsi"/>
          <w:color w:val="auto"/>
          <w:szCs w:val="24"/>
          <w:lang w:eastAsia="en-US"/>
        </w:rPr>
        <w:t xml:space="preserve"> Mesmo com os menores valores o ecótipo ‘laranja’</w:t>
      </w:r>
      <w:r w:rsidR="00BE06F2">
        <w:rPr>
          <w:rFonts w:eastAsiaTheme="minorHAnsi"/>
          <w:color w:val="auto"/>
          <w:szCs w:val="24"/>
          <w:lang w:eastAsia="en-US"/>
        </w:rPr>
        <w:t xml:space="preserve"> apresentou melhores valores que </w:t>
      </w:r>
      <w:r w:rsidR="00BE06F2">
        <w:rPr>
          <w:rFonts w:eastAsiaTheme="minorHAnsi"/>
          <w:color w:val="auto"/>
          <w:szCs w:val="24"/>
          <w:lang w:eastAsia="en-US"/>
        </w:rPr>
        <w:fldChar w:fldCharType="begin" w:fldLock="1"/>
      </w:r>
      <w:r w:rsidR="00BE06F2">
        <w:rPr>
          <w:rFonts w:eastAsiaTheme="minorHAnsi"/>
          <w:color w:val="auto"/>
          <w:szCs w:val="24"/>
          <w:lang w:eastAsia="en-US"/>
        </w:rPr>
        <w:instrText>ADDIN CSL_CITATION { "citationItems" : [ { "id" : "ITEM-1", "itemData" : { "author" : [ { "dropping-particle" : "", "family" : "Souza", "given" : "Rosane Li\u00e9ge Alves", "non-dropping-particle" : "", "parse-names" : false, "suffix" : "" }, { "dropping-particle" : "", "family" : "Correia", "given" : "Roberta Targino Pinto", "non-dropping-particle" : "", "parse-names" : false, "suffix" : "" } ], "container-title" : "Braz food Nutr", "id" : "ITEM-1", "issue" : "4", "issued" : { "date-parts" : [ [ "2013" ] ] }, "page" : "369-377", "title" : "Physicochemical and bioactive characterization of the Indian Fig Cactus ( Opuntia ficus-indica ) fruit and mesquite ( Prosopis juliflora ) flour and sensory assessment of derived products", "type" : "article-journal", "volume" : "24" }, "uris" : [ "http://www.mendeley.com/documents/?uuid=eaabb6f5-f0ae-46f1-b00f-375eaef125e2" ] } ], "mendeley" : { "formattedCitation" : "(Souza &amp; Correia, 2013)", "manualFormatting" : "Souza &amp; Correia, (2013)", "plainTextFormattedCitation" : "(Souza &amp; Correia, 2013)", "previouslyFormattedCitation" : "(Souza &amp; Correia, 2013)" }, "properties" : { "noteIndex" : 0 }, "schema" : "https://github.com/citation-style-language/schema/raw/master/csl-citation.json" }</w:instrText>
      </w:r>
      <w:r w:rsidR="00BE06F2">
        <w:rPr>
          <w:rFonts w:eastAsiaTheme="minorHAnsi"/>
          <w:color w:val="auto"/>
          <w:szCs w:val="24"/>
          <w:lang w:eastAsia="en-US"/>
        </w:rPr>
        <w:fldChar w:fldCharType="separate"/>
      </w:r>
      <w:r w:rsidR="00BE06F2" w:rsidRPr="00BE06F2">
        <w:rPr>
          <w:rFonts w:eastAsiaTheme="minorHAnsi"/>
          <w:noProof/>
          <w:color w:val="auto"/>
          <w:szCs w:val="24"/>
          <w:lang w:eastAsia="en-US"/>
        </w:rPr>
        <w:t xml:space="preserve">Souza &amp; Correia, </w:t>
      </w:r>
      <w:r w:rsidR="00BE06F2">
        <w:rPr>
          <w:rFonts w:eastAsiaTheme="minorHAnsi"/>
          <w:noProof/>
          <w:color w:val="auto"/>
          <w:szCs w:val="24"/>
          <w:lang w:eastAsia="en-US"/>
        </w:rPr>
        <w:t>(</w:t>
      </w:r>
      <w:r w:rsidR="00BE06F2" w:rsidRPr="00BE06F2">
        <w:rPr>
          <w:rFonts w:eastAsiaTheme="minorHAnsi"/>
          <w:noProof/>
          <w:color w:val="auto"/>
          <w:szCs w:val="24"/>
          <w:lang w:eastAsia="en-US"/>
        </w:rPr>
        <w:t>2013)</w:t>
      </w:r>
      <w:r w:rsidR="00BE06F2">
        <w:rPr>
          <w:rFonts w:eastAsiaTheme="minorHAnsi"/>
          <w:color w:val="auto"/>
          <w:szCs w:val="24"/>
          <w:lang w:eastAsia="en-US"/>
        </w:rPr>
        <w:fldChar w:fldCharType="end"/>
      </w:r>
      <w:r w:rsidR="00BE06F2">
        <w:rPr>
          <w:rFonts w:eastAsiaTheme="minorHAnsi"/>
          <w:color w:val="auto"/>
          <w:szCs w:val="24"/>
          <w:lang w:eastAsia="en-US"/>
        </w:rPr>
        <w:t xml:space="preserve">, onde a fibra não foi detetada, já </w:t>
      </w:r>
      <w:r w:rsidR="00BE06F2">
        <w:rPr>
          <w:rFonts w:eastAsiaTheme="minorHAnsi"/>
          <w:color w:val="auto"/>
          <w:szCs w:val="24"/>
          <w:lang w:eastAsia="en-US"/>
        </w:rPr>
        <w:fldChar w:fldCharType="begin" w:fldLock="1"/>
      </w:r>
      <w:r w:rsidR="00BE06F2">
        <w:rPr>
          <w:rFonts w:eastAsiaTheme="minorHAnsi"/>
          <w:color w:val="auto"/>
          <w:szCs w:val="24"/>
          <w:lang w:eastAsia="en-US"/>
        </w:rPr>
        <w:instrText>ADDIN CSL_CITATION { "citationItems" : [ { "id" : "ITEM-1", "itemData" : { "DOI" : "10.1016/j.foodchem.2006.06.064", "author" : [ { "dropping-particle" : "", "family" : "Medina", "given" : "E.M D\u00edaz", "non-dropping-particle" : "", "parse-names" : false, "suffix" : "" }, { "dropping-particle" : "", "family" : "Rodr\u00edguez", "given" : "E.M Rodr\u00edguez", "non-dropping-particle" : "", "parse-names" : false, "suffix" : "" }, { "dropping-particle" : "", "family" : "Romero", "given" : "C. D\u00edaz", "non-dropping-particle" : "", "parse-names" : false, "suffix" : "" } ], "container-title" : "Food Chemistry", "id" : "ITEM-1", "issued" : { "date-parts" : [ [ "2007" ] ] }, "page" : "38-45", "title" : "Chemical characterization of Opuntia dillenii and Opuntia ficus indica fruits", "type" : "article-journal", "volume" : "103" }, "uris" : [ "http://www.mendeley.com/documents/?uuid=76f175b1-c4eb-4f47-859a-ba2cc4bf2692" ] } ], "mendeley" : { "formattedCitation" : "(Medina et al., 2007)", "manualFormatting" : "Medina et al., (2007)", "plainTextFormattedCitation" : "(Medina et al., 2007)", "previouslyFormattedCitation" : "(Medina et al., 2007)" }, "properties" : { "noteIndex" : 0 }, "schema" : "https://github.com/citation-style-language/schema/raw/master/csl-citation.json" }</w:instrText>
      </w:r>
      <w:r w:rsidR="00BE06F2">
        <w:rPr>
          <w:rFonts w:eastAsiaTheme="minorHAnsi"/>
          <w:color w:val="auto"/>
          <w:szCs w:val="24"/>
          <w:lang w:eastAsia="en-US"/>
        </w:rPr>
        <w:fldChar w:fldCharType="separate"/>
      </w:r>
      <w:r w:rsidR="00BE06F2" w:rsidRPr="00BE06F2">
        <w:rPr>
          <w:rFonts w:eastAsiaTheme="minorHAnsi"/>
          <w:noProof/>
          <w:color w:val="auto"/>
          <w:szCs w:val="24"/>
          <w:lang w:eastAsia="en-US"/>
        </w:rPr>
        <w:t xml:space="preserve">Medina et al., </w:t>
      </w:r>
      <w:r w:rsidR="00BE06F2">
        <w:rPr>
          <w:rFonts w:eastAsiaTheme="minorHAnsi"/>
          <w:noProof/>
          <w:color w:val="auto"/>
          <w:szCs w:val="24"/>
          <w:lang w:eastAsia="en-US"/>
        </w:rPr>
        <w:t>(</w:t>
      </w:r>
      <w:r w:rsidR="00BE06F2" w:rsidRPr="00BE06F2">
        <w:rPr>
          <w:rFonts w:eastAsiaTheme="minorHAnsi"/>
          <w:noProof/>
          <w:color w:val="auto"/>
          <w:szCs w:val="24"/>
          <w:lang w:eastAsia="en-US"/>
        </w:rPr>
        <w:t>2007)</w:t>
      </w:r>
      <w:r w:rsidR="00BE06F2">
        <w:rPr>
          <w:rFonts w:eastAsiaTheme="minorHAnsi"/>
          <w:color w:val="auto"/>
          <w:szCs w:val="24"/>
          <w:lang w:eastAsia="en-US"/>
        </w:rPr>
        <w:fldChar w:fldCharType="end"/>
      </w:r>
      <w:r w:rsidR="00BE06F2">
        <w:rPr>
          <w:rFonts w:eastAsiaTheme="minorHAnsi"/>
          <w:color w:val="auto"/>
          <w:szCs w:val="24"/>
          <w:lang w:eastAsia="en-US"/>
        </w:rPr>
        <w:t xml:space="preserve"> obteve valores de 4.86 ± 0.42 % </w:t>
      </w:r>
      <w:r w:rsidR="00E75CB2">
        <w:rPr>
          <w:rFonts w:eastAsiaTheme="minorHAnsi"/>
          <w:color w:val="auto"/>
          <w:szCs w:val="24"/>
          <w:lang w:eastAsia="en-US"/>
        </w:rPr>
        <w:t>para o ecótipo ‘laranja’ e 5.65 ± 0.94% para o ecótipo verde.</w:t>
      </w:r>
    </w:p>
    <w:p w14:paraId="56AB39E8" w14:textId="0E0B6F14" w:rsid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Na casca o melhor resultado é </w:t>
      </w:r>
      <w:r w:rsidR="003C435A">
        <w:rPr>
          <w:rFonts w:eastAsiaTheme="minorHAnsi"/>
          <w:color w:val="auto"/>
          <w:szCs w:val="24"/>
          <w:lang w:eastAsia="en-US"/>
        </w:rPr>
        <w:t>o da cultivar ‘Gialla’ (30.43 ±0.89</w:t>
      </w:r>
      <w:r w:rsidRPr="00CE7FD0">
        <w:rPr>
          <w:rFonts w:eastAsiaTheme="minorHAnsi"/>
          <w:color w:val="auto"/>
          <w:szCs w:val="24"/>
          <w:lang w:eastAsia="en-US"/>
        </w:rPr>
        <w:t xml:space="preserve"> </w:t>
      </w:r>
      <w:r w:rsidR="00363D0D">
        <w:rPr>
          <w:rFonts w:eastAsiaTheme="minorHAnsi"/>
          <w:color w:val="auto"/>
          <w:szCs w:val="24"/>
          <w:lang w:eastAsia="en-US"/>
        </w:rPr>
        <w:t>%), da cultivar ‘Rosso’ (28.93</w:t>
      </w:r>
      <w:r w:rsidRPr="00CE7FD0">
        <w:rPr>
          <w:rFonts w:eastAsiaTheme="minorHAnsi"/>
          <w:color w:val="auto"/>
          <w:szCs w:val="24"/>
          <w:lang w:eastAsia="en-US"/>
        </w:rPr>
        <w:t xml:space="preserve"> ± 1.91%</w:t>
      </w:r>
      <w:r w:rsidR="00363D0D">
        <w:rPr>
          <w:rFonts w:eastAsiaTheme="minorHAnsi"/>
          <w:color w:val="auto"/>
          <w:szCs w:val="24"/>
          <w:lang w:eastAsia="en-US"/>
        </w:rPr>
        <w:t>), no ecótipo ‘laranja’ (20.51</w:t>
      </w:r>
      <w:r w:rsidRPr="00CE7FD0">
        <w:rPr>
          <w:rFonts w:eastAsiaTheme="minorHAnsi"/>
          <w:color w:val="auto"/>
          <w:szCs w:val="24"/>
          <w:lang w:eastAsia="en-US"/>
        </w:rPr>
        <w:t xml:space="preserve"> ± 2.87%) e por ultimo com um resultado bastante infer</w:t>
      </w:r>
      <w:r w:rsidR="00363D0D">
        <w:rPr>
          <w:rFonts w:eastAsiaTheme="minorHAnsi"/>
          <w:color w:val="auto"/>
          <w:szCs w:val="24"/>
          <w:lang w:eastAsia="en-US"/>
        </w:rPr>
        <w:t>ior o ecótipo ‘verde’ com 2.68</w:t>
      </w:r>
      <w:r w:rsidR="0057093F">
        <w:rPr>
          <w:rFonts w:eastAsiaTheme="minorHAnsi"/>
          <w:color w:val="auto"/>
          <w:szCs w:val="24"/>
          <w:lang w:eastAsia="en-US"/>
        </w:rPr>
        <w:t xml:space="preserve"> % (Figura 30).</w:t>
      </w:r>
    </w:p>
    <w:p w14:paraId="01D96602" w14:textId="77777777" w:rsidR="00CE7FD0" w:rsidRDefault="00CE7FD0" w:rsidP="00F20BAE">
      <w:pPr>
        <w:keepNext/>
        <w:widowControl w:val="0"/>
        <w:autoSpaceDE w:val="0"/>
        <w:autoSpaceDN w:val="0"/>
        <w:adjustRightInd w:val="0"/>
        <w:spacing w:after="160" w:line="360" w:lineRule="auto"/>
        <w:ind w:left="0" w:right="0" w:firstLine="0"/>
        <w:jc w:val="center"/>
      </w:pPr>
      <w:r w:rsidRPr="008B3FE3">
        <w:rPr>
          <w:rFonts w:asciiTheme="minorHAnsi" w:eastAsiaTheme="minorHAnsi" w:hAnsiTheme="minorHAnsi" w:cstheme="minorBidi"/>
          <w:noProof/>
          <w:color w:val="auto"/>
          <w:sz w:val="22"/>
        </w:rPr>
        <w:lastRenderedPageBreak/>
        <w:drawing>
          <wp:inline distT="0" distB="0" distL="0" distR="0" wp14:anchorId="677E63ED" wp14:editId="76CC700F">
            <wp:extent cx="4572000" cy="2743200"/>
            <wp:effectExtent l="0" t="0" r="0" b="0"/>
            <wp:docPr id="245" name="Gráfico 245">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04C12FF-5BDC-4D80-A7CD-D73C0C83D2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C2AFD59" w14:textId="5AF2EF88" w:rsidR="00CE7FD0" w:rsidRPr="006C2067" w:rsidRDefault="00CE7FD0" w:rsidP="00F20BAE">
      <w:pPr>
        <w:pStyle w:val="Legenda"/>
        <w:ind w:right="-1"/>
        <w:rPr>
          <w:i w:val="0"/>
          <w:color w:val="auto"/>
        </w:rPr>
      </w:pPr>
      <w:bookmarkStart w:id="330" w:name="_Toc479333905"/>
      <w:r>
        <w:t xml:space="preserve">Figura </w:t>
      </w:r>
      <w:r w:rsidR="00805B44">
        <w:fldChar w:fldCharType="begin"/>
      </w:r>
      <w:r w:rsidR="00805B44">
        <w:instrText xml:space="preserve"> SEQ Figura \* ARABIC </w:instrText>
      </w:r>
      <w:r w:rsidR="00805B44">
        <w:fldChar w:fldCharType="separate"/>
      </w:r>
      <w:r w:rsidR="005F28B4">
        <w:rPr>
          <w:noProof/>
        </w:rPr>
        <w:t>30</w:t>
      </w:r>
      <w:r w:rsidR="00805B44">
        <w:rPr>
          <w:noProof/>
        </w:rPr>
        <w:fldChar w:fldCharType="end"/>
      </w:r>
      <w:r>
        <w:t xml:space="preserve"> – </w:t>
      </w:r>
      <w:r w:rsidRPr="006C2067">
        <w:rPr>
          <w:i w:val="0"/>
          <w:color w:val="auto"/>
        </w:rPr>
        <w:t xml:space="preserve">Teor de fibra </w:t>
      </w:r>
      <w:r w:rsidRPr="006C2067">
        <w:rPr>
          <w:i w:val="0"/>
          <w:color w:val="auto"/>
          <w:sz w:val="20"/>
          <w:szCs w:val="20"/>
        </w:rPr>
        <w:t>dos frutos de quatro diferentes ecótipos/cultivares do figo-da-índia (‘laranja’, ‘verde’, ‘Rosso’ e ‘Gialla’). Os val</w:t>
      </w:r>
      <w:r w:rsidR="00901BBD">
        <w:rPr>
          <w:i w:val="0"/>
          <w:color w:val="auto"/>
          <w:sz w:val="20"/>
          <w:szCs w:val="20"/>
        </w:rPr>
        <w:t>ores representam uma média de 3</w:t>
      </w:r>
      <w:r w:rsidRPr="006C2067">
        <w:rPr>
          <w:i w:val="0"/>
          <w:color w:val="auto"/>
          <w:sz w:val="20"/>
          <w:szCs w:val="20"/>
        </w:rPr>
        <w:t xml:space="preserve"> amostras por cultivar. As barras referentes à parte da casca com a mesma letra maiúscula e barras referentes à parte da polpa com a mesma letra minúscula no topo não são significativamente diferentes pelo teste de Duncan (Duncan Multiple Range Test, at </w:t>
      </w:r>
      <w:proofErr w:type="gramStart"/>
      <w:r w:rsidRPr="006C2067">
        <w:rPr>
          <w:i w:val="0"/>
          <w:color w:val="auto"/>
          <w:sz w:val="20"/>
          <w:szCs w:val="20"/>
        </w:rPr>
        <w:t>P&lt;0.</w:t>
      </w:r>
      <w:proofErr w:type="gramEnd"/>
      <w:r w:rsidRPr="006C2067">
        <w:rPr>
          <w:i w:val="0"/>
          <w:color w:val="auto"/>
          <w:sz w:val="20"/>
          <w:szCs w:val="20"/>
        </w:rPr>
        <w:t xml:space="preserve">05). As duas barras com NS, * ou *** no topo não são significativamente diferentes ou são significativamente diferentes para </w:t>
      </w:r>
      <w:proofErr w:type="gramStart"/>
      <w:r w:rsidRPr="006C2067">
        <w:rPr>
          <w:i w:val="0"/>
          <w:color w:val="auto"/>
          <w:sz w:val="20"/>
          <w:szCs w:val="20"/>
        </w:rPr>
        <w:t>P&lt;0.</w:t>
      </w:r>
      <w:proofErr w:type="gramEnd"/>
      <w:r w:rsidRPr="006C2067">
        <w:rPr>
          <w:i w:val="0"/>
          <w:color w:val="auto"/>
          <w:sz w:val="20"/>
          <w:szCs w:val="20"/>
        </w:rPr>
        <w:t>05 ou P &lt;0.01</w:t>
      </w:r>
      <w:r w:rsidRPr="006C2067">
        <w:rPr>
          <w:i w:val="0"/>
          <w:color w:val="auto"/>
        </w:rPr>
        <w:t>.</w:t>
      </w:r>
      <w:bookmarkEnd w:id="330"/>
    </w:p>
    <w:p w14:paraId="6845EFA9" w14:textId="77777777" w:rsidR="00CE7FD0" w:rsidRDefault="00CE7FD0" w:rsidP="00CE7FD0"/>
    <w:p w14:paraId="5E081D4B" w14:textId="3FA80CC6"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Entre estes resultados ocorreram diferenças significativas perante o teste da ANOVA (</w:t>
      </w:r>
      <w:proofErr w:type="gramStart"/>
      <w:r w:rsidRPr="00CE7FD0">
        <w:rPr>
          <w:rFonts w:eastAsiaTheme="minorHAnsi"/>
          <w:color w:val="auto"/>
          <w:szCs w:val="24"/>
          <w:lang w:eastAsia="en-US"/>
        </w:rPr>
        <w:t>p&gt;0.</w:t>
      </w:r>
      <w:proofErr w:type="gramEnd"/>
      <w:r w:rsidRPr="00CE7FD0">
        <w:rPr>
          <w:rFonts w:eastAsiaTheme="minorHAnsi"/>
          <w:color w:val="auto"/>
          <w:szCs w:val="24"/>
          <w:lang w:eastAsia="en-US"/>
        </w:rPr>
        <w:t>05</w:t>
      </w:r>
      <w:r w:rsidR="00E00BBA">
        <w:rPr>
          <w:rFonts w:eastAsiaTheme="minorHAnsi"/>
          <w:color w:val="auto"/>
          <w:szCs w:val="24"/>
          <w:lang w:eastAsia="en-US"/>
        </w:rPr>
        <w:t>).</w:t>
      </w:r>
      <w:r w:rsidRPr="00CE7FD0">
        <w:rPr>
          <w:rFonts w:eastAsiaTheme="minorHAnsi"/>
          <w:color w:val="auto"/>
          <w:szCs w:val="24"/>
          <w:lang w:eastAsia="en-US"/>
        </w:rPr>
        <w:t xml:space="preserve"> </w:t>
      </w:r>
    </w:p>
    <w:p w14:paraId="7858C146" w14:textId="77777777" w:rsidR="00CE7FD0" w:rsidRPr="00CE7FD0" w:rsidRDefault="00CE7FD0" w:rsidP="00CE7FD0">
      <w:pPr>
        <w:widowControl w:val="0"/>
        <w:autoSpaceDE w:val="0"/>
        <w:autoSpaceDN w:val="0"/>
        <w:adjustRightInd w:val="0"/>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Com estes valores é realçado o facto de a </w:t>
      </w:r>
      <w:r w:rsidRPr="00CE7FD0">
        <w:rPr>
          <w:rFonts w:eastAsiaTheme="minorHAnsi"/>
          <w:i/>
          <w:color w:val="auto"/>
          <w:szCs w:val="24"/>
          <w:lang w:eastAsia="en-US"/>
        </w:rPr>
        <w:t xml:space="preserve">Opuntia ficus indica </w:t>
      </w:r>
      <w:r w:rsidRPr="00CE7FD0">
        <w:rPr>
          <w:rFonts w:eastAsiaTheme="minorHAnsi"/>
          <w:color w:val="auto"/>
          <w:szCs w:val="24"/>
          <w:lang w:eastAsia="en-US"/>
        </w:rPr>
        <w:t xml:space="preserve">conter um elevado teor de fibra </w:t>
      </w:r>
      <w:r w:rsidRPr="00CE7FD0">
        <w:rPr>
          <w:rFonts w:eastAsiaTheme="minorHAnsi"/>
          <w:color w:val="auto"/>
          <w:szCs w:val="24"/>
          <w:lang w:eastAsia="en-US"/>
        </w:rPr>
        <w:fldChar w:fldCharType="begin" w:fldLock="1"/>
      </w:r>
      <w:r w:rsidR="00363D0D">
        <w:rPr>
          <w:rFonts w:eastAsiaTheme="minorHAnsi"/>
          <w:color w:val="auto"/>
          <w:szCs w:val="24"/>
          <w:lang w:eastAsia="en-US"/>
        </w:rPr>
        <w:instrText>ADDIN CSL_CITATION { "citationItems" : [ { "id" : "ITEM-1", "itemData" : { "DOI" : "10.3390/ijerph8051287", "ISBN" : "1660-4601", "ISSN" : "16604601", "PMID" : "21655119", "abstract" : "Opuntia ficus indica, also known as prickly pads, are an important part of the human diet and are also used as forage for livestock. This is an interesting vegetable due the environmental conditions in which it grows and its resistance to climatic extremes; however, little is known about its nutritional properties, especially in the later stages of maturity. The objective of this study was to determine the composition of organic prickly pads (Opuntia ficus indica) at differing stages of growth maturity. Chemical proximate analysis and mineral constituent analysis at different maturation stages were carried out in this investigation. As a result, older prickly pads were found to be an important source of nutritional components such as calcium.", "author" : [ { "dropping-particle" : "", "family" : "Hern\u00e1ndez-Urbiola", "given" : "Margarita I.", "non-dropping-particle" : "", "parse-names" : false, "suffix" : "" }, { "dropping-particle" : "", "family" : "P\u00e9rez-Torrero", "given" : "Esther", "non-dropping-particle" : "", "parse-names" : false, "suffix" : "" }, { "dropping-particle" : "", "family" : "Rodr\u00edguez-Garc\u00eda", "given" : "Mario E.", "non-dropping-particle" : "", "parse-names" : false, "suffix" : "" } ], "container-title" : "International Journal of Environmental Research and Public Health", "id" : "ITEM-1", "issue" : "5", "issued" : { "date-parts" : [ [ "2011" ] ] }, "page" : "1287-1295", "title" : "Chemical analysis of nutritional content of prickly pads (Opuntia ficus indica) at varied ages in an organic harvest", "type" : "article-journal", "volume" : "8" }, "uris" : [ "http://www.mendeley.com/documents/?uuid=33ce7c8c-5606-408f-995d-cb9720058d74" ] } ], "mendeley" : { "formattedCitation" : "(Hern\u00e1ndez-Urbiola, P\u00e9rez-Torrero, &amp; Rodr\u00edguez-Garc\u00eda, 2011)", "manualFormatting" : "(Hern\u00e1ndez-Urbiola et al., 2011)", "plainTextFormattedCitation" : "(Hern\u00e1ndez-Urbiola, P\u00e9rez-Torrero, &amp; Rodr\u00edguez-Garc\u00eda, 2011)", "previouslyFormattedCitation" : "(Hern\u00e1ndez-Urbiola, P\u00e9rez-Torrero, &amp; Rodr\u00edguez-Garc\u00eda, 2011)" }, "properties" : { "noteIndex" : 0 }, "schema" : "https://github.com/citation-style-language/schema/raw/master/csl-citation.json" }</w:instrText>
      </w:r>
      <w:r w:rsidRPr="00CE7FD0">
        <w:rPr>
          <w:rFonts w:eastAsiaTheme="minorHAnsi"/>
          <w:color w:val="auto"/>
          <w:szCs w:val="24"/>
          <w:lang w:eastAsia="en-US"/>
        </w:rPr>
        <w:fldChar w:fldCharType="separate"/>
      </w:r>
      <w:r w:rsidR="00363D0D">
        <w:rPr>
          <w:rFonts w:eastAsiaTheme="minorHAnsi"/>
          <w:noProof/>
          <w:color w:val="auto"/>
          <w:szCs w:val="24"/>
          <w:lang w:eastAsia="en-US"/>
        </w:rPr>
        <w:t>(Hernández-Urbiola et al.</w:t>
      </w:r>
      <w:r w:rsidRPr="00CE7FD0">
        <w:rPr>
          <w:rFonts w:eastAsiaTheme="minorHAnsi"/>
          <w:noProof/>
          <w:color w:val="auto"/>
          <w:szCs w:val="24"/>
          <w:lang w:eastAsia="en-US"/>
        </w:rPr>
        <w:t>, 2011)</w:t>
      </w:r>
      <w:r w:rsidRPr="00CE7FD0">
        <w:rPr>
          <w:rFonts w:eastAsiaTheme="minorHAnsi"/>
          <w:color w:val="auto"/>
          <w:szCs w:val="24"/>
          <w:lang w:eastAsia="en-US"/>
        </w:rPr>
        <w:fldChar w:fldCharType="end"/>
      </w:r>
      <w:r w:rsidRPr="00CE7FD0">
        <w:rPr>
          <w:rFonts w:eastAsiaTheme="minorHAnsi"/>
          <w:color w:val="auto"/>
          <w:szCs w:val="24"/>
          <w:lang w:eastAsia="en-US"/>
        </w:rPr>
        <w:t>.</w:t>
      </w:r>
    </w:p>
    <w:p w14:paraId="7FFBA45E" w14:textId="77777777" w:rsidR="00CE7FD0" w:rsidRPr="00CE7FD0" w:rsidRDefault="00CE7FD0" w:rsidP="00CE7FD0"/>
    <w:p w14:paraId="73DDB9C8" w14:textId="77777777" w:rsidR="00CE7FD0" w:rsidRDefault="00CE7FD0" w:rsidP="00CE7FD0">
      <w:pPr>
        <w:pStyle w:val="Legenda"/>
        <w:rPr>
          <w:rFonts w:eastAsiaTheme="minorHAnsi"/>
          <w:color w:val="auto"/>
          <w:szCs w:val="24"/>
          <w:lang w:eastAsia="en-US"/>
        </w:rPr>
      </w:pPr>
    </w:p>
    <w:p w14:paraId="1C2D35CE" w14:textId="77777777" w:rsidR="00CE7FD0" w:rsidRDefault="00CE7FD0" w:rsidP="00CE7FD0">
      <w:pPr>
        <w:rPr>
          <w:rFonts w:eastAsiaTheme="minorHAnsi"/>
          <w:lang w:eastAsia="en-US"/>
        </w:rPr>
      </w:pPr>
    </w:p>
    <w:p w14:paraId="0D75D4F7" w14:textId="77777777" w:rsidR="00CE7FD0" w:rsidRDefault="00CE7FD0" w:rsidP="00CE7FD0">
      <w:pPr>
        <w:rPr>
          <w:rFonts w:eastAsiaTheme="minorHAnsi"/>
          <w:lang w:eastAsia="en-US"/>
        </w:rPr>
      </w:pPr>
    </w:p>
    <w:p w14:paraId="7C77B2E3" w14:textId="77777777" w:rsidR="00CE7FD0" w:rsidRDefault="00CE7FD0" w:rsidP="00CE7FD0">
      <w:pPr>
        <w:rPr>
          <w:rFonts w:eastAsiaTheme="minorHAnsi"/>
          <w:lang w:eastAsia="en-US"/>
        </w:rPr>
      </w:pPr>
    </w:p>
    <w:p w14:paraId="1716A049" w14:textId="77777777" w:rsidR="00CE7FD0" w:rsidRDefault="00CE7FD0" w:rsidP="00CE7FD0">
      <w:pPr>
        <w:rPr>
          <w:rFonts w:eastAsiaTheme="minorHAnsi"/>
          <w:lang w:eastAsia="en-US"/>
        </w:rPr>
      </w:pPr>
    </w:p>
    <w:p w14:paraId="5A0FC0B2" w14:textId="77777777" w:rsidR="00CE7FD0" w:rsidRDefault="00CE7FD0" w:rsidP="00CE7FD0">
      <w:pPr>
        <w:rPr>
          <w:rFonts w:eastAsiaTheme="minorHAnsi"/>
          <w:lang w:eastAsia="en-US"/>
        </w:rPr>
      </w:pPr>
    </w:p>
    <w:p w14:paraId="29606500" w14:textId="77777777" w:rsidR="00CE7FD0" w:rsidRDefault="00CE7FD0" w:rsidP="00CE7FD0">
      <w:pPr>
        <w:rPr>
          <w:rFonts w:eastAsiaTheme="minorHAnsi"/>
          <w:lang w:eastAsia="en-US"/>
        </w:rPr>
      </w:pPr>
    </w:p>
    <w:p w14:paraId="720F7FE6" w14:textId="77777777" w:rsidR="00CE7FD0" w:rsidRDefault="00CE7FD0" w:rsidP="00CE7FD0">
      <w:pPr>
        <w:rPr>
          <w:rFonts w:eastAsiaTheme="minorHAnsi"/>
          <w:lang w:eastAsia="en-US"/>
        </w:rPr>
      </w:pPr>
    </w:p>
    <w:p w14:paraId="57AA7EA8" w14:textId="77777777" w:rsidR="00363D0D" w:rsidRDefault="00363D0D" w:rsidP="00CE7FD0">
      <w:pPr>
        <w:rPr>
          <w:rFonts w:eastAsiaTheme="minorHAnsi"/>
          <w:lang w:eastAsia="en-US"/>
        </w:rPr>
      </w:pPr>
    </w:p>
    <w:p w14:paraId="42C9E6A5" w14:textId="77777777" w:rsidR="00CE7FD0" w:rsidRPr="00CE7FD0" w:rsidRDefault="00CE7FD0" w:rsidP="00CE7FD0">
      <w:pPr>
        <w:pStyle w:val="Cabealho1"/>
        <w:rPr>
          <w:rFonts w:ascii="Times New Roman" w:hAnsi="Times New Roman" w:cs="Times New Roman"/>
          <w:color w:val="auto"/>
          <w:lang w:eastAsia="en-US"/>
        </w:rPr>
      </w:pPr>
      <w:bookmarkStart w:id="331" w:name="_Toc462709801"/>
      <w:bookmarkStart w:id="332" w:name="_Toc479154878"/>
      <w:r w:rsidRPr="00CE7FD0">
        <w:rPr>
          <w:rFonts w:ascii="Times New Roman" w:hAnsi="Times New Roman" w:cs="Times New Roman"/>
          <w:color w:val="auto"/>
          <w:lang w:eastAsia="en-US"/>
        </w:rPr>
        <w:lastRenderedPageBreak/>
        <w:t>4. Conclusão</w:t>
      </w:r>
      <w:bookmarkEnd w:id="331"/>
      <w:bookmarkEnd w:id="332"/>
    </w:p>
    <w:p w14:paraId="56A22C32" w14:textId="77777777" w:rsidR="00CE7FD0" w:rsidRPr="00CE7FD0" w:rsidRDefault="00CE7FD0" w:rsidP="00CE7FD0">
      <w:pPr>
        <w:rPr>
          <w:rFonts w:eastAsiaTheme="minorHAnsi"/>
          <w:lang w:eastAsia="en-US"/>
        </w:rPr>
      </w:pPr>
    </w:p>
    <w:p w14:paraId="2686555B" w14:textId="16FEECFA"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Através da aplicação de diversas metodologias foi-nos possível </w:t>
      </w:r>
      <w:r w:rsidR="00E07E7A">
        <w:rPr>
          <w:rFonts w:eastAsiaTheme="minorHAnsi"/>
          <w:color w:val="auto"/>
          <w:szCs w:val="24"/>
          <w:lang w:eastAsia="en-US"/>
        </w:rPr>
        <w:t>avaliar</w:t>
      </w:r>
      <w:r w:rsidR="00E07E7A" w:rsidRPr="00CE7FD0">
        <w:rPr>
          <w:rFonts w:eastAsiaTheme="minorHAnsi"/>
          <w:color w:val="auto"/>
          <w:szCs w:val="24"/>
          <w:lang w:eastAsia="en-US"/>
        </w:rPr>
        <w:t xml:space="preserve"> </w:t>
      </w:r>
      <w:r w:rsidRPr="00CE7FD0">
        <w:rPr>
          <w:rFonts w:eastAsiaTheme="minorHAnsi"/>
          <w:color w:val="auto"/>
          <w:szCs w:val="24"/>
          <w:lang w:eastAsia="en-US"/>
        </w:rPr>
        <w:t xml:space="preserve">a </w:t>
      </w:r>
      <w:proofErr w:type="gramStart"/>
      <w:r w:rsidRPr="00CE7FD0">
        <w:rPr>
          <w:rFonts w:eastAsiaTheme="minorHAnsi"/>
          <w:color w:val="auto"/>
          <w:szCs w:val="24"/>
          <w:lang w:eastAsia="en-US"/>
        </w:rPr>
        <w:t>capacidade</w:t>
      </w:r>
      <w:proofErr w:type="gramEnd"/>
      <w:r w:rsidRPr="00CE7FD0">
        <w:rPr>
          <w:rFonts w:eastAsiaTheme="minorHAnsi"/>
          <w:color w:val="auto"/>
          <w:szCs w:val="24"/>
          <w:lang w:eastAsia="en-US"/>
        </w:rPr>
        <w:t xml:space="preserve"> </w:t>
      </w:r>
      <w:proofErr w:type="gramStart"/>
      <w:r w:rsidRPr="00CE7FD0">
        <w:rPr>
          <w:rFonts w:eastAsiaTheme="minorHAnsi"/>
          <w:color w:val="auto"/>
          <w:szCs w:val="24"/>
          <w:lang w:eastAsia="en-US"/>
        </w:rPr>
        <w:t>antioxidante</w:t>
      </w:r>
      <w:proofErr w:type="gramEnd"/>
      <w:r w:rsidRPr="00CE7FD0">
        <w:rPr>
          <w:rFonts w:eastAsiaTheme="minorHAnsi"/>
          <w:color w:val="auto"/>
          <w:szCs w:val="24"/>
          <w:lang w:eastAsia="en-US"/>
        </w:rPr>
        <w:t xml:space="preserve"> e </w:t>
      </w:r>
      <w:proofErr w:type="gramStart"/>
      <w:r w:rsidRPr="00CE7FD0">
        <w:rPr>
          <w:rFonts w:eastAsiaTheme="minorHAnsi"/>
          <w:color w:val="auto"/>
          <w:szCs w:val="24"/>
          <w:lang w:eastAsia="en-US"/>
        </w:rPr>
        <w:t>as</w:t>
      </w:r>
      <w:proofErr w:type="gramEnd"/>
      <w:r w:rsidRPr="00CE7FD0">
        <w:rPr>
          <w:rFonts w:eastAsiaTheme="minorHAnsi"/>
          <w:color w:val="auto"/>
          <w:szCs w:val="24"/>
          <w:lang w:eastAsia="en-US"/>
        </w:rPr>
        <w:t xml:space="preserve"> </w:t>
      </w:r>
      <w:proofErr w:type="gramStart"/>
      <w:r w:rsidRPr="00CE7FD0">
        <w:rPr>
          <w:rFonts w:eastAsiaTheme="minorHAnsi"/>
          <w:color w:val="auto"/>
          <w:szCs w:val="24"/>
          <w:lang w:eastAsia="en-US"/>
        </w:rPr>
        <w:t>características</w:t>
      </w:r>
      <w:proofErr w:type="gramEnd"/>
      <w:r w:rsidRPr="00CE7FD0">
        <w:rPr>
          <w:rFonts w:eastAsiaTheme="minorHAnsi"/>
          <w:color w:val="auto"/>
          <w:szCs w:val="24"/>
          <w:lang w:eastAsia="en-US"/>
        </w:rPr>
        <w:t xml:space="preserve"> </w:t>
      </w:r>
      <w:proofErr w:type="gramStart"/>
      <w:r w:rsidRPr="00CE7FD0">
        <w:rPr>
          <w:rFonts w:eastAsiaTheme="minorHAnsi"/>
          <w:color w:val="auto"/>
          <w:szCs w:val="24"/>
          <w:lang w:eastAsia="en-US"/>
        </w:rPr>
        <w:t>físi</w:t>
      </w:r>
      <w:r w:rsidR="00901BBD">
        <w:rPr>
          <w:rFonts w:eastAsiaTheme="minorHAnsi"/>
          <w:color w:val="auto"/>
          <w:szCs w:val="24"/>
          <w:lang w:eastAsia="en-US"/>
        </w:rPr>
        <w:t>co-químicas</w:t>
      </w:r>
      <w:proofErr w:type="gramEnd"/>
      <w:r w:rsidR="00901BBD">
        <w:rPr>
          <w:rFonts w:eastAsiaTheme="minorHAnsi"/>
          <w:color w:val="auto"/>
          <w:szCs w:val="24"/>
          <w:lang w:eastAsia="en-US"/>
        </w:rPr>
        <w:t xml:space="preserve"> do figo da índia d</w:t>
      </w:r>
      <w:r w:rsidR="00E07E7A">
        <w:rPr>
          <w:rFonts w:eastAsiaTheme="minorHAnsi"/>
          <w:color w:val="auto"/>
          <w:szCs w:val="24"/>
          <w:lang w:eastAsia="en-US"/>
        </w:rPr>
        <w:t>e</w:t>
      </w:r>
      <w:r w:rsidRPr="00CE7FD0">
        <w:rPr>
          <w:rFonts w:eastAsiaTheme="minorHAnsi"/>
          <w:color w:val="auto"/>
          <w:szCs w:val="24"/>
          <w:lang w:eastAsia="en-US"/>
        </w:rPr>
        <w:t xml:space="preserve"> </w:t>
      </w:r>
      <w:r w:rsidR="000D680F">
        <w:rPr>
          <w:rFonts w:eastAsiaTheme="minorHAnsi"/>
          <w:color w:val="auto"/>
          <w:szCs w:val="24"/>
          <w:lang w:eastAsia="en-US"/>
        </w:rPr>
        <w:t xml:space="preserve">2 </w:t>
      </w:r>
      <w:r w:rsidRPr="00CE7FD0">
        <w:rPr>
          <w:rFonts w:eastAsiaTheme="minorHAnsi"/>
          <w:color w:val="auto"/>
          <w:szCs w:val="24"/>
          <w:lang w:eastAsia="en-US"/>
        </w:rPr>
        <w:t>cultivares</w:t>
      </w:r>
      <w:r w:rsidR="000D680F">
        <w:rPr>
          <w:rFonts w:eastAsiaTheme="minorHAnsi"/>
          <w:color w:val="auto"/>
          <w:szCs w:val="24"/>
          <w:lang w:eastAsia="en-US"/>
        </w:rPr>
        <w:t xml:space="preserve"> e 2 </w:t>
      </w:r>
      <w:r w:rsidRPr="00CE7FD0">
        <w:rPr>
          <w:rFonts w:eastAsiaTheme="minorHAnsi"/>
          <w:color w:val="auto"/>
          <w:szCs w:val="24"/>
          <w:lang w:eastAsia="en-US"/>
        </w:rPr>
        <w:t>ecótipos.</w:t>
      </w:r>
    </w:p>
    <w:p w14:paraId="0A8539B6"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Foram obtidos resultados promissores para a utilização de figo da índia como nutracêuticos, corantes alimentares, e outros aditivos alimentares.</w:t>
      </w:r>
    </w:p>
    <w:p w14:paraId="3403B0B1"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Pelos métodos de avaliação dos parâmetros gerais de qu</w:t>
      </w:r>
      <w:r w:rsidR="00833B18">
        <w:rPr>
          <w:rFonts w:eastAsiaTheme="minorHAnsi"/>
          <w:color w:val="auto"/>
          <w:szCs w:val="24"/>
          <w:lang w:eastAsia="en-US"/>
        </w:rPr>
        <w:t>alidade conclui-se que ecótipo ‘</w:t>
      </w:r>
      <w:r w:rsidRPr="00CE7FD0">
        <w:rPr>
          <w:rFonts w:eastAsiaTheme="minorHAnsi"/>
          <w:color w:val="auto"/>
          <w:szCs w:val="24"/>
          <w:lang w:eastAsia="en-US"/>
        </w:rPr>
        <w:t>laranja</w:t>
      </w:r>
      <w:r w:rsidR="00833B18">
        <w:rPr>
          <w:rFonts w:eastAsiaTheme="minorHAnsi"/>
          <w:color w:val="auto"/>
          <w:szCs w:val="24"/>
          <w:lang w:eastAsia="en-US"/>
        </w:rPr>
        <w:t>’</w:t>
      </w:r>
      <w:r w:rsidRPr="00CE7FD0">
        <w:rPr>
          <w:rFonts w:eastAsiaTheme="minorHAnsi"/>
          <w:color w:val="auto"/>
          <w:szCs w:val="24"/>
          <w:lang w:eastAsia="en-US"/>
        </w:rPr>
        <w:t xml:space="preserve"> é que apresenta maior tamanho, </w:t>
      </w:r>
      <w:r w:rsidR="00833B18">
        <w:rPr>
          <w:rFonts w:eastAsiaTheme="minorHAnsi"/>
          <w:color w:val="auto"/>
          <w:szCs w:val="24"/>
          <w:lang w:eastAsia="en-US"/>
        </w:rPr>
        <w:t>o ecótipo</w:t>
      </w:r>
      <w:r w:rsidRPr="00CE7FD0">
        <w:rPr>
          <w:rFonts w:eastAsiaTheme="minorHAnsi"/>
          <w:color w:val="auto"/>
          <w:szCs w:val="24"/>
          <w:lang w:eastAsia="en-US"/>
        </w:rPr>
        <w:t xml:space="preserve"> </w:t>
      </w:r>
      <w:r w:rsidR="00833B18">
        <w:rPr>
          <w:rFonts w:eastAsiaTheme="minorHAnsi"/>
          <w:color w:val="auto"/>
          <w:szCs w:val="24"/>
          <w:lang w:eastAsia="en-US"/>
        </w:rPr>
        <w:t>‘</w:t>
      </w:r>
      <w:r w:rsidRPr="00CE7FD0">
        <w:rPr>
          <w:rFonts w:eastAsiaTheme="minorHAnsi"/>
          <w:color w:val="auto"/>
          <w:szCs w:val="24"/>
          <w:lang w:eastAsia="en-US"/>
        </w:rPr>
        <w:t>verde</w:t>
      </w:r>
      <w:r w:rsidR="00833B18">
        <w:rPr>
          <w:rFonts w:eastAsiaTheme="minorHAnsi"/>
          <w:color w:val="auto"/>
          <w:szCs w:val="24"/>
          <w:lang w:eastAsia="en-US"/>
        </w:rPr>
        <w:t>’</w:t>
      </w:r>
      <w:r w:rsidRPr="00CE7FD0">
        <w:rPr>
          <w:rFonts w:eastAsiaTheme="minorHAnsi"/>
          <w:color w:val="auto"/>
          <w:szCs w:val="24"/>
          <w:lang w:eastAsia="en-US"/>
        </w:rPr>
        <w:t xml:space="preserve"> a maior luminosidade, parâmetro b*, h° e C*. Relativamente a firmeza esta obteve resultados diferentes com e sem casca, sendo a cultivar </w:t>
      </w:r>
      <w:r w:rsidR="00833B18">
        <w:rPr>
          <w:rFonts w:eastAsiaTheme="minorHAnsi"/>
          <w:color w:val="auto"/>
          <w:szCs w:val="24"/>
          <w:lang w:eastAsia="en-US"/>
        </w:rPr>
        <w:t>‘</w:t>
      </w:r>
      <w:r w:rsidRPr="00CE7FD0">
        <w:rPr>
          <w:rFonts w:eastAsiaTheme="minorHAnsi"/>
          <w:color w:val="auto"/>
          <w:szCs w:val="24"/>
          <w:lang w:eastAsia="en-US"/>
        </w:rPr>
        <w:t>Rosso</w:t>
      </w:r>
      <w:r w:rsidR="00833B18">
        <w:rPr>
          <w:rFonts w:eastAsiaTheme="minorHAnsi"/>
          <w:color w:val="auto"/>
          <w:szCs w:val="24"/>
          <w:lang w:eastAsia="en-US"/>
        </w:rPr>
        <w:t>’</w:t>
      </w:r>
      <w:r w:rsidRPr="00CE7FD0">
        <w:rPr>
          <w:rFonts w:eastAsiaTheme="minorHAnsi"/>
          <w:color w:val="auto"/>
          <w:szCs w:val="24"/>
          <w:lang w:eastAsia="en-US"/>
        </w:rPr>
        <w:t xml:space="preserve"> a cultivar mais dura co</w:t>
      </w:r>
      <w:r w:rsidR="00833B18">
        <w:rPr>
          <w:rFonts w:eastAsiaTheme="minorHAnsi"/>
          <w:color w:val="auto"/>
          <w:szCs w:val="24"/>
          <w:lang w:eastAsia="en-US"/>
        </w:rPr>
        <w:t>m casca e sem casca é o ecótipo</w:t>
      </w:r>
      <w:r w:rsidRPr="00CE7FD0">
        <w:rPr>
          <w:rFonts w:eastAsiaTheme="minorHAnsi"/>
          <w:color w:val="auto"/>
          <w:szCs w:val="24"/>
          <w:lang w:eastAsia="en-US"/>
        </w:rPr>
        <w:t xml:space="preserve"> </w:t>
      </w:r>
      <w:r w:rsidR="00833B18">
        <w:rPr>
          <w:rFonts w:eastAsiaTheme="minorHAnsi"/>
          <w:color w:val="auto"/>
          <w:szCs w:val="24"/>
          <w:lang w:eastAsia="en-US"/>
        </w:rPr>
        <w:t>‘</w:t>
      </w:r>
      <w:r w:rsidRPr="00CE7FD0">
        <w:rPr>
          <w:rFonts w:eastAsiaTheme="minorHAnsi"/>
          <w:color w:val="auto"/>
          <w:szCs w:val="24"/>
          <w:lang w:eastAsia="en-US"/>
        </w:rPr>
        <w:t>verde</w:t>
      </w:r>
      <w:r w:rsidR="00833B18">
        <w:rPr>
          <w:rFonts w:eastAsiaTheme="minorHAnsi"/>
          <w:color w:val="auto"/>
          <w:szCs w:val="24"/>
          <w:lang w:eastAsia="en-US"/>
        </w:rPr>
        <w:t>’</w:t>
      </w:r>
      <w:r w:rsidRPr="00CE7FD0">
        <w:rPr>
          <w:rFonts w:eastAsiaTheme="minorHAnsi"/>
          <w:color w:val="auto"/>
          <w:szCs w:val="24"/>
          <w:lang w:eastAsia="en-US"/>
        </w:rPr>
        <w:t xml:space="preserve">.  </w:t>
      </w:r>
    </w:p>
    <w:p w14:paraId="0C9E4B46"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A cultivar mais doce é representada pela </w:t>
      </w:r>
      <w:r w:rsidR="001B1D58">
        <w:rPr>
          <w:rFonts w:eastAsiaTheme="minorHAnsi"/>
          <w:color w:val="auto"/>
          <w:szCs w:val="24"/>
          <w:lang w:eastAsia="en-US"/>
        </w:rPr>
        <w:t>‘</w:t>
      </w:r>
      <w:r w:rsidRPr="00CE7FD0">
        <w:rPr>
          <w:rFonts w:eastAsiaTheme="minorHAnsi"/>
          <w:color w:val="auto"/>
          <w:szCs w:val="24"/>
          <w:lang w:eastAsia="en-US"/>
        </w:rPr>
        <w:t>Gialla</w:t>
      </w:r>
      <w:r w:rsidR="001B1D58">
        <w:rPr>
          <w:rFonts w:eastAsiaTheme="minorHAnsi"/>
          <w:color w:val="auto"/>
          <w:szCs w:val="24"/>
          <w:lang w:eastAsia="en-US"/>
        </w:rPr>
        <w:t>’</w:t>
      </w:r>
      <w:r w:rsidRPr="00CE7FD0">
        <w:rPr>
          <w:rFonts w:eastAsiaTheme="minorHAnsi"/>
          <w:color w:val="auto"/>
          <w:szCs w:val="24"/>
          <w:lang w:eastAsia="en-US"/>
        </w:rPr>
        <w:t xml:space="preserve"> devido aos seus valores do °Brix. No que diz respeito ao pH e à acidez titulável os valores </w:t>
      </w:r>
      <w:r w:rsidR="00AF3406">
        <w:rPr>
          <w:rFonts w:eastAsiaTheme="minorHAnsi"/>
          <w:color w:val="auto"/>
          <w:szCs w:val="24"/>
          <w:lang w:eastAsia="en-US"/>
        </w:rPr>
        <w:t>mais elevados foram atribuídos aos ecótipos</w:t>
      </w:r>
      <w:r w:rsidRPr="00CE7FD0">
        <w:rPr>
          <w:rFonts w:eastAsiaTheme="minorHAnsi"/>
          <w:color w:val="auto"/>
          <w:szCs w:val="24"/>
          <w:lang w:eastAsia="en-US"/>
        </w:rPr>
        <w:t xml:space="preserve"> </w:t>
      </w:r>
      <w:r w:rsidR="00AF3406">
        <w:rPr>
          <w:rFonts w:eastAsiaTheme="minorHAnsi"/>
          <w:color w:val="auto"/>
          <w:szCs w:val="24"/>
          <w:lang w:eastAsia="en-US"/>
        </w:rPr>
        <w:t>‘</w:t>
      </w:r>
      <w:r w:rsidRPr="00CE7FD0">
        <w:rPr>
          <w:rFonts w:eastAsiaTheme="minorHAnsi"/>
          <w:color w:val="auto"/>
          <w:szCs w:val="24"/>
          <w:lang w:eastAsia="en-US"/>
        </w:rPr>
        <w:t>verde</w:t>
      </w:r>
      <w:r w:rsidR="00AF3406">
        <w:rPr>
          <w:rFonts w:eastAsiaTheme="minorHAnsi"/>
          <w:color w:val="auto"/>
          <w:szCs w:val="24"/>
          <w:lang w:eastAsia="en-US"/>
        </w:rPr>
        <w:t>’</w:t>
      </w:r>
      <w:r w:rsidRPr="00CE7FD0">
        <w:rPr>
          <w:rFonts w:eastAsiaTheme="minorHAnsi"/>
          <w:color w:val="auto"/>
          <w:szCs w:val="24"/>
          <w:lang w:eastAsia="en-US"/>
        </w:rPr>
        <w:t xml:space="preserve"> e </w:t>
      </w:r>
      <w:r w:rsidR="00AF3406">
        <w:rPr>
          <w:rFonts w:eastAsiaTheme="minorHAnsi"/>
          <w:color w:val="auto"/>
          <w:szCs w:val="24"/>
          <w:lang w:eastAsia="en-US"/>
        </w:rPr>
        <w:t>‘</w:t>
      </w:r>
      <w:r w:rsidRPr="00CE7FD0">
        <w:rPr>
          <w:rFonts w:eastAsiaTheme="minorHAnsi"/>
          <w:color w:val="auto"/>
          <w:szCs w:val="24"/>
          <w:lang w:eastAsia="en-US"/>
        </w:rPr>
        <w:t>laranja</w:t>
      </w:r>
      <w:r w:rsidR="00AF3406">
        <w:rPr>
          <w:rFonts w:eastAsiaTheme="minorHAnsi"/>
          <w:color w:val="auto"/>
          <w:szCs w:val="24"/>
          <w:lang w:eastAsia="en-US"/>
        </w:rPr>
        <w:t>’</w:t>
      </w:r>
      <w:r w:rsidRPr="00CE7FD0">
        <w:rPr>
          <w:rFonts w:eastAsiaTheme="minorHAnsi"/>
          <w:color w:val="auto"/>
          <w:szCs w:val="24"/>
          <w:lang w:eastAsia="en-US"/>
        </w:rPr>
        <w:t>, respetivamente.</w:t>
      </w:r>
    </w:p>
    <w:p w14:paraId="2FBA6F28" w14:textId="0A6A7AE8"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Com os resultados obtidos pode-se concluir que o figo da índia é um fruto que pode ser usado como fonte de antioxidantes. A sua </w:t>
      </w:r>
      <w:proofErr w:type="gramStart"/>
      <w:r w:rsidRPr="00CE7FD0">
        <w:rPr>
          <w:rFonts w:eastAsiaTheme="minorHAnsi"/>
          <w:color w:val="auto"/>
          <w:szCs w:val="24"/>
          <w:lang w:eastAsia="en-US"/>
        </w:rPr>
        <w:t>capacidade</w:t>
      </w:r>
      <w:proofErr w:type="gramEnd"/>
      <w:r w:rsidRPr="00CE7FD0">
        <w:rPr>
          <w:rFonts w:eastAsiaTheme="minorHAnsi"/>
          <w:color w:val="auto"/>
          <w:szCs w:val="24"/>
          <w:lang w:eastAsia="en-US"/>
        </w:rPr>
        <w:t xml:space="preserve"> </w:t>
      </w:r>
      <w:proofErr w:type="gramStart"/>
      <w:r w:rsidRPr="00CE7FD0">
        <w:rPr>
          <w:rFonts w:eastAsiaTheme="minorHAnsi"/>
          <w:color w:val="auto"/>
          <w:szCs w:val="24"/>
          <w:lang w:eastAsia="en-US"/>
        </w:rPr>
        <w:t>antioxidante</w:t>
      </w:r>
      <w:proofErr w:type="gramEnd"/>
      <w:r w:rsidRPr="00CE7FD0">
        <w:rPr>
          <w:rFonts w:eastAsiaTheme="minorHAnsi"/>
          <w:color w:val="auto"/>
          <w:szCs w:val="24"/>
          <w:lang w:eastAsia="en-US"/>
        </w:rPr>
        <w:t xml:space="preserve"> foi detetada por métodos com</w:t>
      </w:r>
      <w:r w:rsidR="00700488">
        <w:rPr>
          <w:rFonts w:eastAsiaTheme="minorHAnsi"/>
          <w:color w:val="auto"/>
          <w:szCs w:val="24"/>
          <w:lang w:eastAsia="en-US"/>
        </w:rPr>
        <w:t xml:space="preserve"> o </w:t>
      </w:r>
      <w:r w:rsidRPr="00CE7FD0">
        <w:rPr>
          <w:rFonts w:eastAsiaTheme="minorHAnsi"/>
          <w:color w:val="auto"/>
          <w:szCs w:val="24"/>
          <w:lang w:eastAsia="en-US"/>
        </w:rPr>
        <w:t>TEAC, DPPH</w:t>
      </w:r>
      <w:r w:rsidR="00700488">
        <w:rPr>
          <w:rFonts w:eastAsiaTheme="minorHAnsi"/>
          <w:color w:val="auto"/>
          <w:szCs w:val="24"/>
          <w:lang w:eastAsia="en-US"/>
        </w:rPr>
        <w:t xml:space="preserve">. De forma a tentar quantificar os metabolitos que contribuem para esta atividade foram usados os métodos </w:t>
      </w:r>
      <w:r w:rsidR="005107C1">
        <w:rPr>
          <w:rFonts w:eastAsiaTheme="minorHAnsi"/>
          <w:color w:val="auto"/>
          <w:szCs w:val="24"/>
          <w:lang w:eastAsia="en-US"/>
        </w:rPr>
        <w:t>fenóis totais</w:t>
      </w:r>
      <w:r w:rsidR="00700488">
        <w:rPr>
          <w:rFonts w:eastAsiaTheme="minorHAnsi"/>
          <w:color w:val="auto"/>
          <w:szCs w:val="24"/>
          <w:lang w:eastAsia="en-US"/>
        </w:rPr>
        <w:t xml:space="preserve">, </w:t>
      </w:r>
      <w:r w:rsidR="005107C1">
        <w:rPr>
          <w:rFonts w:eastAsiaTheme="minorHAnsi"/>
          <w:color w:val="auto"/>
          <w:szCs w:val="24"/>
          <w:lang w:eastAsia="en-US"/>
        </w:rPr>
        <w:t xml:space="preserve">flavonóides, </w:t>
      </w:r>
      <w:r w:rsidR="00700488">
        <w:rPr>
          <w:rFonts w:eastAsiaTheme="minorHAnsi"/>
          <w:color w:val="auto"/>
          <w:szCs w:val="24"/>
          <w:lang w:eastAsia="en-US"/>
        </w:rPr>
        <w:t>taninos</w:t>
      </w:r>
      <w:r w:rsidR="005107C1">
        <w:rPr>
          <w:rFonts w:eastAsiaTheme="minorHAnsi"/>
          <w:color w:val="auto"/>
          <w:szCs w:val="24"/>
          <w:lang w:eastAsia="en-US"/>
        </w:rPr>
        <w:t xml:space="preserve"> e betalaínas.</w:t>
      </w:r>
    </w:p>
    <w:p w14:paraId="1E472A40" w14:textId="3BA34880"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Relativame</w:t>
      </w:r>
      <w:r w:rsidR="00AF3406">
        <w:rPr>
          <w:rFonts w:eastAsiaTheme="minorHAnsi"/>
          <w:color w:val="auto"/>
          <w:szCs w:val="24"/>
          <w:lang w:eastAsia="en-US"/>
        </w:rPr>
        <w:t>nte aos fenóis totais</w:t>
      </w:r>
      <w:r w:rsidR="00DC746F">
        <w:rPr>
          <w:rFonts w:eastAsiaTheme="minorHAnsi"/>
          <w:color w:val="auto"/>
          <w:szCs w:val="24"/>
          <w:lang w:eastAsia="en-US"/>
        </w:rPr>
        <w:t>,</w:t>
      </w:r>
      <w:r w:rsidR="00AF3406">
        <w:rPr>
          <w:rFonts w:eastAsiaTheme="minorHAnsi"/>
          <w:color w:val="auto"/>
          <w:szCs w:val="24"/>
          <w:lang w:eastAsia="en-US"/>
        </w:rPr>
        <w:t xml:space="preserve"> o ecótipo</w:t>
      </w:r>
      <w:r w:rsidRPr="00CE7FD0">
        <w:rPr>
          <w:rFonts w:eastAsiaTheme="minorHAnsi"/>
          <w:color w:val="auto"/>
          <w:szCs w:val="24"/>
          <w:lang w:eastAsia="en-US"/>
        </w:rPr>
        <w:t xml:space="preserve"> que apresen</w:t>
      </w:r>
      <w:r w:rsidR="00AF3406">
        <w:rPr>
          <w:rFonts w:eastAsiaTheme="minorHAnsi"/>
          <w:color w:val="auto"/>
          <w:szCs w:val="24"/>
          <w:lang w:eastAsia="en-US"/>
        </w:rPr>
        <w:t xml:space="preserve">ta maior </w:t>
      </w:r>
      <w:r w:rsidR="005107C1">
        <w:rPr>
          <w:rFonts w:eastAsiaTheme="minorHAnsi"/>
          <w:color w:val="auto"/>
          <w:szCs w:val="24"/>
          <w:lang w:eastAsia="en-US"/>
        </w:rPr>
        <w:t xml:space="preserve">teor </w:t>
      </w:r>
      <w:r w:rsidR="00AF3406">
        <w:rPr>
          <w:rFonts w:eastAsiaTheme="minorHAnsi"/>
          <w:color w:val="auto"/>
          <w:szCs w:val="24"/>
          <w:lang w:eastAsia="en-US"/>
        </w:rPr>
        <w:t>é o</w:t>
      </w:r>
      <w:r w:rsidRPr="00CE7FD0">
        <w:rPr>
          <w:rFonts w:eastAsiaTheme="minorHAnsi"/>
          <w:color w:val="auto"/>
          <w:szCs w:val="24"/>
          <w:lang w:eastAsia="en-US"/>
        </w:rPr>
        <w:t xml:space="preserve"> </w:t>
      </w:r>
      <w:r w:rsidR="00DC746F">
        <w:rPr>
          <w:rFonts w:eastAsiaTheme="minorHAnsi"/>
          <w:color w:val="auto"/>
          <w:szCs w:val="24"/>
          <w:lang w:eastAsia="en-US"/>
        </w:rPr>
        <w:t>‘</w:t>
      </w:r>
      <w:r w:rsidRPr="00CE7FD0">
        <w:rPr>
          <w:rFonts w:eastAsiaTheme="minorHAnsi"/>
          <w:color w:val="auto"/>
          <w:szCs w:val="24"/>
          <w:lang w:eastAsia="en-US"/>
        </w:rPr>
        <w:t>verde</w:t>
      </w:r>
      <w:r w:rsidR="00DC746F">
        <w:rPr>
          <w:rFonts w:eastAsiaTheme="minorHAnsi"/>
          <w:color w:val="auto"/>
          <w:szCs w:val="24"/>
          <w:lang w:eastAsia="en-US"/>
        </w:rPr>
        <w:t>’</w:t>
      </w:r>
      <w:r w:rsidRPr="00CE7FD0">
        <w:rPr>
          <w:rFonts w:eastAsiaTheme="minorHAnsi"/>
          <w:color w:val="auto"/>
          <w:szCs w:val="24"/>
          <w:lang w:eastAsia="en-US"/>
        </w:rPr>
        <w:t xml:space="preserve"> tanto na casca como na polpa. </w:t>
      </w:r>
    </w:p>
    <w:p w14:paraId="2B2C8F20"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Para o TEAC, a cultivar que demostrou maior atividade antioxidante foi a cultivar </w:t>
      </w:r>
      <w:r w:rsidR="00833B18">
        <w:rPr>
          <w:rFonts w:eastAsiaTheme="minorHAnsi"/>
          <w:color w:val="auto"/>
          <w:szCs w:val="24"/>
          <w:lang w:eastAsia="en-US"/>
        </w:rPr>
        <w:t>‘</w:t>
      </w:r>
      <w:r w:rsidRPr="00CE7FD0">
        <w:rPr>
          <w:rFonts w:eastAsiaTheme="minorHAnsi"/>
          <w:color w:val="auto"/>
          <w:szCs w:val="24"/>
          <w:lang w:eastAsia="en-US"/>
        </w:rPr>
        <w:t>Rosso</w:t>
      </w:r>
      <w:r w:rsidR="00833B18">
        <w:rPr>
          <w:rFonts w:eastAsiaTheme="minorHAnsi"/>
          <w:color w:val="auto"/>
          <w:szCs w:val="24"/>
          <w:lang w:eastAsia="en-US"/>
        </w:rPr>
        <w:t>’</w:t>
      </w:r>
      <w:r w:rsidRPr="00CE7FD0">
        <w:rPr>
          <w:rFonts w:eastAsiaTheme="minorHAnsi"/>
          <w:color w:val="auto"/>
          <w:szCs w:val="24"/>
          <w:lang w:eastAsia="en-US"/>
        </w:rPr>
        <w:t xml:space="preserve"> na casca e na polpa.</w:t>
      </w:r>
    </w:p>
    <w:p w14:paraId="677B891A" w14:textId="16F5A744"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No caso do DPPH, houve diferenças nas cultivares</w:t>
      </w:r>
      <w:r w:rsidR="00AF3406">
        <w:rPr>
          <w:rFonts w:eastAsiaTheme="minorHAnsi"/>
          <w:color w:val="auto"/>
          <w:szCs w:val="24"/>
          <w:lang w:eastAsia="en-US"/>
        </w:rPr>
        <w:t xml:space="preserve"> e ecótipos</w:t>
      </w:r>
      <w:r w:rsidRPr="00CE7FD0">
        <w:rPr>
          <w:rFonts w:eastAsiaTheme="minorHAnsi"/>
          <w:color w:val="auto"/>
          <w:szCs w:val="24"/>
          <w:lang w:eastAsia="en-US"/>
        </w:rPr>
        <w:t xml:space="preserve">, pois, a cultivar </w:t>
      </w:r>
      <w:r w:rsidR="008C0453">
        <w:rPr>
          <w:rFonts w:eastAsiaTheme="minorHAnsi"/>
          <w:color w:val="auto"/>
          <w:szCs w:val="24"/>
          <w:lang w:eastAsia="en-US"/>
        </w:rPr>
        <w:t xml:space="preserve">que apresentou maior atividade </w:t>
      </w:r>
      <w:r w:rsidRPr="00CE7FD0">
        <w:rPr>
          <w:rFonts w:eastAsiaTheme="minorHAnsi"/>
          <w:color w:val="auto"/>
          <w:szCs w:val="24"/>
          <w:lang w:eastAsia="en-US"/>
        </w:rPr>
        <w:t>na cas</w:t>
      </w:r>
      <w:r w:rsidR="00833B18">
        <w:rPr>
          <w:rFonts w:eastAsiaTheme="minorHAnsi"/>
          <w:color w:val="auto"/>
          <w:szCs w:val="24"/>
          <w:lang w:eastAsia="en-US"/>
        </w:rPr>
        <w:t>ca foi a ‘Gialla’ e na polpa foi o ecótipo</w:t>
      </w:r>
      <w:r w:rsidRPr="00CE7FD0">
        <w:rPr>
          <w:rFonts w:eastAsiaTheme="minorHAnsi"/>
          <w:color w:val="auto"/>
          <w:szCs w:val="24"/>
          <w:lang w:eastAsia="en-US"/>
        </w:rPr>
        <w:t xml:space="preserve"> </w:t>
      </w:r>
      <w:r w:rsidR="00DC746F">
        <w:rPr>
          <w:rFonts w:eastAsiaTheme="minorHAnsi"/>
          <w:color w:val="auto"/>
          <w:szCs w:val="24"/>
          <w:lang w:eastAsia="en-US"/>
        </w:rPr>
        <w:t>‘</w:t>
      </w:r>
      <w:r w:rsidRPr="00CE7FD0">
        <w:rPr>
          <w:rFonts w:eastAsiaTheme="minorHAnsi"/>
          <w:color w:val="auto"/>
          <w:szCs w:val="24"/>
          <w:lang w:eastAsia="en-US"/>
        </w:rPr>
        <w:t>verde</w:t>
      </w:r>
      <w:r w:rsidR="00DC746F">
        <w:rPr>
          <w:rFonts w:eastAsiaTheme="minorHAnsi"/>
          <w:color w:val="auto"/>
          <w:szCs w:val="24"/>
          <w:lang w:eastAsia="en-US"/>
        </w:rPr>
        <w:t>’</w:t>
      </w:r>
      <w:r w:rsidRPr="00CE7FD0">
        <w:rPr>
          <w:rFonts w:eastAsiaTheme="minorHAnsi"/>
          <w:color w:val="auto"/>
          <w:szCs w:val="24"/>
          <w:lang w:eastAsia="en-US"/>
        </w:rPr>
        <w:t>.</w:t>
      </w:r>
    </w:p>
    <w:p w14:paraId="0947996B"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Nos flavonoides, </w:t>
      </w:r>
      <w:r w:rsidR="00DC746F">
        <w:rPr>
          <w:rFonts w:eastAsiaTheme="minorHAnsi"/>
          <w:color w:val="auto"/>
          <w:szCs w:val="24"/>
          <w:lang w:eastAsia="en-US"/>
        </w:rPr>
        <w:t>o ecótipo com maior quantidade foi o</w:t>
      </w:r>
      <w:r w:rsidRPr="00CE7FD0">
        <w:rPr>
          <w:rFonts w:eastAsiaTheme="minorHAnsi"/>
          <w:color w:val="auto"/>
          <w:szCs w:val="24"/>
          <w:lang w:eastAsia="en-US"/>
        </w:rPr>
        <w:t xml:space="preserve"> </w:t>
      </w:r>
      <w:r w:rsidR="00DC746F">
        <w:rPr>
          <w:rFonts w:eastAsiaTheme="minorHAnsi"/>
          <w:color w:val="auto"/>
          <w:szCs w:val="24"/>
          <w:lang w:eastAsia="en-US"/>
        </w:rPr>
        <w:t>‘</w:t>
      </w:r>
      <w:r w:rsidRPr="00CE7FD0">
        <w:rPr>
          <w:rFonts w:eastAsiaTheme="minorHAnsi"/>
          <w:color w:val="auto"/>
          <w:szCs w:val="24"/>
          <w:lang w:eastAsia="en-US"/>
        </w:rPr>
        <w:t>laranja</w:t>
      </w:r>
      <w:r w:rsidR="00DC746F">
        <w:rPr>
          <w:rFonts w:eastAsiaTheme="minorHAnsi"/>
          <w:color w:val="auto"/>
          <w:szCs w:val="24"/>
          <w:lang w:eastAsia="en-US"/>
        </w:rPr>
        <w:t>’</w:t>
      </w:r>
      <w:r w:rsidRPr="00CE7FD0">
        <w:rPr>
          <w:rFonts w:eastAsiaTheme="minorHAnsi"/>
          <w:color w:val="auto"/>
          <w:szCs w:val="24"/>
          <w:lang w:eastAsia="en-US"/>
        </w:rPr>
        <w:t xml:space="preserve"> tanto na casca como na polpa. </w:t>
      </w:r>
    </w:p>
    <w:p w14:paraId="1AD551B9" w14:textId="2B885054"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lastRenderedPageBreak/>
        <w:t>Nas betacianinas</w:t>
      </w:r>
      <w:r w:rsidR="0044264A">
        <w:rPr>
          <w:rFonts w:eastAsiaTheme="minorHAnsi"/>
          <w:color w:val="auto"/>
          <w:szCs w:val="24"/>
          <w:lang w:eastAsia="en-US"/>
        </w:rPr>
        <w:t>,</w:t>
      </w:r>
      <w:r w:rsidRPr="00CE7FD0">
        <w:rPr>
          <w:rFonts w:eastAsiaTheme="minorHAnsi"/>
          <w:color w:val="auto"/>
          <w:szCs w:val="24"/>
          <w:lang w:eastAsia="en-US"/>
        </w:rPr>
        <w:t xml:space="preserve"> a cultivar </w:t>
      </w:r>
      <w:r w:rsidR="00DC746F">
        <w:rPr>
          <w:rFonts w:eastAsiaTheme="minorHAnsi"/>
          <w:color w:val="auto"/>
          <w:szCs w:val="24"/>
          <w:lang w:eastAsia="en-US"/>
        </w:rPr>
        <w:t>‘</w:t>
      </w:r>
      <w:r w:rsidRPr="00CE7FD0">
        <w:rPr>
          <w:rFonts w:eastAsiaTheme="minorHAnsi"/>
          <w:color w:val="auto"/>
          <w:szCs w:val="24"/>
          <w:lang w:eastAsia="en-US"/>
        </w:rPr>
        <w:t>Rosso</w:t>
      </w:r>
      <w:r w:rsidR="00DC746F">
        <w:rPr>
          <w:rFonts w:eastAsiaTheme="minorHAnsi"/>
          <w:color w:val="auto"/>
          <w:szCs w:val="24"/>
          <w:lang w:eastAsia="en-US"/>
        </w:rPr>
        <w:t>’</w:t>
      </w:r>
      <w:r w:rsidRPr="00CE7FD0">
        <w:rPr>
          <w:rFonts w:eastAsiaTheme="minorHAnsi"/>
          <w:color w:val="auto"/>
          <w:szCs w:val="24"/>
          <w:lang w:eastAsia="en-US"/>
        </w:rPr>
        <w:t xml:space="preserve"> obteve maiores </w:t>
      </w:r>
      <w:r w:rsidR="005107C1">
        <w:rPr>
          <w:rFonts w:eastAsiaTheme="minorHAnsi"/>
          <w:color w:val="auto"/>
          <w:szCs w:val="24"/>
          <w:lang w:eastAsia="en-US"/>
        </w:rPr>
        <w:t>t</w:t>
      </w:r>
      <w:r w:rsidR="0063100E">
        <w:rPr>
          <w:rFonts w:eastAsiaTheme="minorHAnsi"/>
          <w:color w:val="auto"/>
          <w:szCs w:val="24"/>
          <w:lang w:eastAsia="en-US"/>
        </w:rPr>
        <w:t>e</w:t>
      </w:r>
      <w:r w:rsidR="005107C1">
        <w:rPr>
          <w:rFonts w:eastAsiaTheme="minorHAnsi"/>
          <w:color w:val="auto"/>
          <w:szCs w:val="24"/>
          <w:lang w:eastAsia="en-US"/>
        </w:rPr>
        <w:t>ores</w:t>
      </w:r>
      <w:r w:rsidR="005107C1" w:rsidRPr="00CE7FD0">
        <w:rPr>
          <w:rFonts w:eastAsiaTheme="minorHAnsi"/>
          <w:color w:val="auto"/>
          <w:szCs w:val="24"/>
          <w:lang w:eastAsia="en-US"/>
        </w:rPr>
        <w:t xml:space="preserve"> </w:t>
      </w:r>
      <w:r w:rsidRPr="00CE7FD0">
        <w:rPr>
          <w:rFonts w:eastAsiaTheme="minorHAnsi"/>
          <w:color w:val="auto"/>
          <w:szCs w:val="24"/>
          <w:lang w:eastAsia="en-US"/>
        </w:rPr>
        <w:t>na casca e na pol</w:t>
      </w:r>
      <w:r w:rsidR="00DC746F">
        <w:rPr>
          <w:rFonts w:eastAsiaTheme="minorHAnsi"/>
          <w:color w:val="auto"/>
          <w:szCs w:val="24"/>
          <w:lang w:eastAsia="en-US"/>
        </w:rPr>
        <w:t>pa. Nas betaxantinas, o ecótipo</w:t>
      </w:r>
      <w:r w:rsidRPr="00CE7FD0">
        <w:rPr>
          <w:rFonts w:eastAsiaTheme="minorHAnsi"/>
          <w:color w:val="auto"/>
          <w:szCs w:val="24"/>
          <w:lang w:eastAsia="en-US"/>
        </w:rPr>
        <w:t xml:space="preserve"> </w:t>
      </w:r>
      <w:r w:rsidR="00DC746F">
        <w:rPr>
          <w:rFonts w:eastAsiaTheme="minorHAnsi"/>
          <w:color w:val="auto"/>
          <w:szCs w:val="24"/>
          <w:lang w:eastAsia="en-US"/>
        </w:rPr>
        <w:t>‘</w:t>
      </w:r>
      <w:r w:rsidRPr="00CE7FD0">
        <w:rPr>
          <w:rFonts w:eastAsiaTheme="minorHAnsi"/>
          <w:color w:val="auto"/>
          <w:szCs w:val="24"/>
          <w:lang w:eastAsia="en-US"/>
        </w:rPr>
        <w:t>laranja</w:t>
      </w:r>
      <w:r w:rsidR="00DC746F">
        <w:rPr>
          <w:rFonts w:eastAsiaTheme="minorHAnsi"/>
          <w:color w:val="auto"/>
          <w:szCs w:val="24"/>
          <w:lang w:eastAsia="en-US"/>
        </w:rPr>
        <w:t>’</w:t>
      </w:r>
      <w:r w:rsidRPr="00CE7FD0">
        <w:rPr>
          <w:rFonts w:eastAsiaTheme="minorHAnsi"/>
          <w:color w:val="auto"/>
          <w:szCs w:val="24"/>
          <w:lang w:eastAsia="en-US"/>
        </w:rPr>
        <w:t xml:space="preserve"> obteve melhores resultados na casca e a cultivar </w:t>
      </w:r>
      <w:r w:rsidR="00DC746F">
        <w:rPr>
          <w:rFonts w:eastAsiaTheme="minorHAnsi"/>
          <w:color w:val="auto"/>
          <w:szCs w:val="24"/>
          <w:lang w:eastAsia="en-US"/>
        </w:rPr>
        <w:t>‘</w:t>
      </w:r>
      <w:r w:rsidRPr="00CE7FD0">
        <w:rPr>
          <w:rFonts w:eastAsiaTheme="minorHAnsi"/>
          <w:color w:val="auto"/>
          <w:szCs w:val="24"/>
          <w:lang w:eastAsia="en-US"/>
        </w:rPr>
        <w:t>Gialla</w:t>
      </w:r>
      <w:r w:rsidR="00DC746F">
        <w:rPr>
          <w:rFonts w:eastAsiaTheme="minorHAnsi"/>
          <w:color w:val="auto"/>
          <w:szCs w:val="24"/>
          <w:lang w:eastAsia="en-US"/>
        </w:rPr>
        <w:t>’</w:t>
      </w:r>
      <w:r w:rsidRPr="00CE7FD0">
        <w:rPr>
          <w:rFonts w:eastAsiaTheme="minorHAnsi"/>
          <w:color w:val="auto"/>
          <w:szCs w:val="24"/>
          <w:lang w:eastAsia="en-US"/>
        </w:rPr>
        <w:t xml:space="preserve"> na polpa.</w:t>
      </w:r>
    </w:p>
    <w:p w14:paraId="04ACF45C" w14:textId="77777777"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Para os taninos a cultivar </w:t>
      </w:r>
      <w:r w:rsidR="00DC746F">
        <w:rPr>
          <w:rFonts w:eastAsiaTheme="minorHAnsi"/>
          <w:color w:val="auto"/>
          <w:szCs w:val="24"/>
          <w:lang w:eastAsia="en-US"/>
        </w:rPr>
        <w:t>‘</w:t>
      </w:r>
      <w:r w:rsidRPr="00CE7FD0">
        <w:rPr>
          <w:rFonts w:eastAsiaTheme="minorHAnsi"/>
          <w:color w:val="auto"/>
          <w:szCs w:val="24"/>
          <w:lang w:eastAsia="en-US"/>
        </w:rPr>
        <w:t>Gialla</w:t>
      </w:r>
      <w:r w:rsidR="00DC746F">
        <w:rPr>
          <w:rFonts w:eastAsiaTheme="minorHAnsi"/>
          <w:color w:val="auto"/>
          <w:szCs w:val="24"/>
          <w:lang w:eastAsia="en-US"/>
        </w:rPr>
        <w:t>’</w:t>
      </w:r>
      <w:r w:rsidRPr="00CE7FD0">
        <w:rPr>
          <w:rFonts w:eastAsiaTheme="minorHAnsi"/>
          <w:color w:val="auto"/>
          <w:szCs w:val="24"/>
          <w:lang w:eastAsia="en-US"/>
        </w:rPr>
        <w:t xml:space="preserve"> obteve a maior quantidade na casca e na polpa.</w:t>
      </w:r>
    </w:p>
    <w:p w14:paraId="7A273234" w14:textId="08584BFF" w:rsidR="00CE7FD0" w:rsidRPr="00CE7FD0" w:rsidRDefault="008C0453"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Compara</w:t>
      </w:r>
      <w:r>
        <w:rPr>
          <w:rFonts w:eastAsiaTheme="minorHAnsi"/>
          <w:color w:val="auto"/>
          <w:szCs w:val="24"/>
          <w:lang w:eastAsia="en-US"/>
        </w:rPr>
        <w:t>do</w:t>
      </w:r>
      <w:r w:rsidR="00CE7FD0" w:rsidRPr="00CE7FD0">
        <w:rPr>
          <w:rFonts w:eastAsiaTheme="minorHAnsi"/>
          <w:color w:val="auto"/>
          <w:szCs w:val="24"/>
          <w:lang w:eastAsia="en-US"/>
        </w:rPr>
        <w:t xml:space="preserve"> casca e a </w:t>
      </w:r>
      <w:r w:rsidR="00FD7427" w:rsidRPr="00CE7FD0">
        <w:rPr>
          <w:rFonts w:eastAsiaTheme="minorHAnsi"/>
          <w:color w:val="auto"/>
          <w:szCs w:val="24"/>
          <w:lang w:eastAsia="en-US"/>
        </w:rPr>
        <w:t xml:space="preserve">polpa, </w:t>
      </w:r>
      <w:r w:rsidR="00FD7427">
        <w:rPr>
          <w:rFonts w:eastAsiaTheme="minorHAnsi"/>
          <w:color w:val="auto"/>
          <w:szCs w:val="24"/>
          <w:lang w:eastAsia="en-US"/>
        </w:rPr>
        <w:t>verificou</w:t>
      </w:r>
      <w:r>
        <w:rPr>
          <w:rFonts w:eastAsiaTheme="minorHAnsi"/>
          <w:color w:val="auto"/>
          <w:szCs w:val="24"/>
          <w:lang w:eastAsia="en-US"/>
        </w:rPr>
        <w:t xml:space="preserve">-se que </w:t>
      </w:r>
      <w:r w:rsidR="00CE7FD0" w:rsidRPr="00CE7FD0">
        <w:rPr>
          <w:rFonts w:eastAsiaTheme="minorHAnsi"/>
          <w:color w:val="auto"/>
          <w:szCs w:val="24"/>
          <w:lang w:eastAsia="en-US"/>
        </w:rPr>
        <w:t>a casca aparenta ser uma melhor fonte de antioxidantes que a polpa.</w:t>
      </w:r>
    </w:p>
    <w:p w14:paraId="4CBDEB5A" w14:textId="68ECD33B"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Feita a analise pelo HPLC, verificou-se a existência de diversos ácidos orgânicos em cada cultivar </w:t>
      </w:r>
      <w:r w:rsidR="00DC746F">
        <w:rPr>
          <w:rFonts w:eastAsiaTheme="minorHAnsi"/>
          <w:color w:val="auto"/>
          <w:szCs w:val="24"/>
          <w:lang w:eastAsia="en-US"/>
        </w:rPr>
        <w:t xml:space="preserve">e ecótipos </w:t>
      </w:r>
      <w:r w:rsidRPr="00CE7FD0">
        <w:rPr>
          <w:rFonts w:eastAsiaTheme="minorHAnsi"/>
          <w:color w:val="auto"/>
          <w:szCs w:val="24"/>
          <w:lang w:eastAsia="en-US"/>
        </w:rPr>
        <w:t xml:space="preserve">sendo eles, propiónico, málico, tartárico, sucínico, glutárico e pirúvico. </w:t>
      </w:r>
      <w:r w:rsidR="008C0453">
        <w:rPr>
          <w:rFonts w:eastAsiaTheme="minorHAnsi"/>
          <w:color w:val="auto"/>
          <w:szCs w:val="24"/>
          <w:lang w:eastAsia="en-US"/>
        </w:rPr>
        <w:t>Tendo sido</w:t>
      </w:r>
      <w:r w:rsidRPr="00CE7FD0">
        <w:rPr>
          <w:rFonts w:eastAsiaTheme="minorHAnsi"/>
          <w:color w:val="auto"/>
          <w:szCs w:val="24"/>
          <w:lang w:eastAsia="en-US"/>
        </w:rPr>
        <w:t xml:space="preserve"> detetados em maior quantidade na casca </w:t>
      </w:r>
      <w:r w:rsidR="008C0453">
        <w:rPr>
          <w:rFonts w:eastAsiaTheme="minorHAnsi"/>
          <w:color w:val="auto"/>
          <w:szCs w:val="24"/>
          <w:lang w:eastAsia="en-US"/>
        </w:rPr>
        <w:t xml:space="preserve">do </w:t>
      </w:r>
      <w:r w:rsidRPr="00CE7FD0">
        <w:rPr>
          <w:rFonts w:eastAsiaTheme="minorHAnsi"/>
          <w:color w:val="auto"/>
          <w:szCs w:val="24"/>
          <w:lang w:eastAsia="en-US"/>
        </w:rPr>
        <w:t>que na polpa.</w:t>
      </w:r>
    </w:p>
    <w:p w14:paraId="2CFABC48" w14:textId="10848725"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 xml:space="preserve">Quando quantificados os açúcares foram detetados a frutose, a glucose e sacarose. A glucose </w:t>
      </w:r>
      <w:r w:rsidR="005107C1">
        <w:rPr>
          <w:rFonts w:eastAsiaTheme="minorHAnsi"/>
          <w:color w:val="auto"/>
          <w:szCs w:val="24"/>
          <w:lang w:eastAsia="en-US"/>
        </w:rPr>
        <w:t xml:space="preserve">foi a mais abundante </w:t>
      </w:r>
      <w:r w:rsidRPr="00CE7FD0">
        <w:rPr>
          <w:rFonts w:eastAsiaTheme="minorHAnsi"/>
          <w:color w:val="auto"/>
          <w:szCs w:val="24"/>
          <w:lang w:eastAsia="en-US"/>
        </w:rPr>
        <w:t>seguindo-se a sacarose e frutose. Estes encontram-se em maior quantidade na casca. A cultivar que exibiu maior concent</w:t>
      </w:r>
      <w:r w:rsidR="00192038">
        <w:rPr>
          <w:rFonts w:eastAsiaTheme="minorHAnsi"/>
          <w:color w:val="auto"/>
          <w:szCs w:val="24"/>
          <w:lang w:eastAsia="en-US"/>
        </w:rPr>
        <w:t xml:space="preserve">ração de </w:t>
      </w:r>
      <w:proofErr w:type="gramStart"/>
      <w:r w:rsidR="00192038">
        <w:rPr>
          <w:rFonts w:eastAsiaTheme="minorHAnsi"/>
          <w:color w:val="auto"/>
          <w:szCs w:val="24"/>
          <w:lang w:eastAsia="en-US"/>
        </w:rPr>
        <w:t>açucares</w:t>
      </w:r>
      <w:proofErr w:type="gramEnd"/>
      <w:r w:rsidR="00192038">
        <w:rPr>
          <w:rFonts w:eastAsiaTheme="minorHAnsi"/>
          <w:color w:val="auto"/>
          <w:szCs w:val="24"/>
          <w:lang w:eastAsia="en-US"/>
        </w:rPr>
        <w:t xml:space="preserve"> foi a</w:t>
      </w:r>
      <w:r w:rsidRPr="00CE7FD0">
        <w:rPr>
          <w:rFonts w:eastAsiaTheme="minorHAnsi"/>
          <w:color w:val="auto"/>
          <w:szCs w:val="24"/>
          <w:lang w:eastAsia="en-US"/>
        </w:rPr>
        <w:t xml:space="preserve"> </w:t>
      </w:r>
      <w:r w:rsidR="00192038">
        <w:rPr>
          <w:rFonts w:eastAsiaTheme="minorHAnsi"/>
          <w:color w:val="auto"/>
          <w:szCs w:val="24"/>
          <w:lang w:eastAsia="en-US"/>
        </w:rPr>
        <w:t>‘</w:t>
      </w:r>
      <w:r w:rsidRPr="00CE7FD0">
        <w:rPr>
          <w:rFonts w:eastAsiaTheme="minorHAnsi"/>
          <w:color w:val="auto"/>
          <w:szCs w:val="24"/>
          <w:lang w:eastAsia="en-US"/>
        </w:rPr>
        <w:t>Gialla</w:t>
      </w:r>
      <w:r w:rsidR="00192038">
        <w:rPr>
          <w:rFonts w:eastAsiaTheme="minorHAnsi"/>
          <w:color w:val="auto"/>
          <w:szCs w:val="24"/>
          <w:lang w:eastAsia="en-US"/>
        </w:rPr>
        <w:t>’, ao inverso do ecótipo</w:t>
      </w:r>
      <w:r w:rsidRPr="00CE7FD0">
        <w:rPr>
          <w:rFonts w:eastAsiaTheme="minorHAnsi"/>
          <w:color w:val="auto"/>
          <w:szCs w:val="24"/>
          <w:lang w:eastAsia="en-US"/>
        </w:rPr>
        <w:t xml:space="preserve"> </w:t>
      </w:r>
      <w:r w:rsidR="00192038">
        <w:rPr>
          <w:rFonts w:eastAsiaTheme="minorHAnsi"/>
          <w:color w:val="auto"/>
          <w:szCs w:val="24"/>
          <w:lang w:eastAsia="en-US"/>
        </w:rPr>
        <w:t>‘</w:t>
      </w:r>
      <w:r w:rsidRPr="00CE7FD0">
        <w:rPr>
          <w:rFonts w:eastAsiaTheme="minorHAnsi"/>
          <w:color w:val="auto"/>
          <w:szCs w:val="24"/>
          <w:lang w:eastAsia="en-US"/>
        </w:rPr>
        <w:t>laranja</w:t>
      </w:r>
      <w:r w:rsidR="00192038">
        <w:rPr>
          <w:rFonts w:eastAsiaTheme="minorHAnsi"/>
          <w:color w:val="auto"/>
          <w:szCs w:val="24"/>
          <w:lang w:eastAsia="en-US"/>
        </w:rPr>
        <w:t>’</w:t>
      </w:r>
      <w:r w:rsidRPr="00CE7FD0">
        <w:rPr>
          <w:rFonts w:eastAsiaTheme="minorHAnsi"/>
          <w:color w:val="auto"/>
          <w:szCs w:val="24"/>
          <w:lang w:eastAsia="en-US"/>
        </w:rPr>
        <w:t xml:space="preserve"> mostrou valores mais baixos.</w:t>
      </w:r>
    </w:p>
    <w:p w14:paraId="2A15CECE" w14:textId="60705D84" w:rsidR="00CE7FD0" w:rsidRPr="00CE7FD0" w:rsidRDefault="00CE7FD0" w:rsidP="00CE7FD0">
      <w:pPr>
        <w:spacing w:after="160" w:line="360" w:lineRule="auto"/>
        <w:ind w:left="0" w:right="0" w:firstLine="0"/>
        <w:rPr>
          <w:rFonts w:eastAsiaTheme="minorHAnsi"/>
          <w:color w:val="auto"/>
          <w:szCs w:val="24"/>
          <w:lang w:eastAsia="en-US"/>
        </w:rPr>
      </w:pPr>
      <w:r w:rsidRPr="00CE7FD0">
        <w:rPr>
          <w:rFonts w:eastAsiaTheme="minorHAnsi"/>
          <w:color w:val="auto"/>
          <w:szCs w:val="24"/>
          <w:lang w:eastAsia="en-US"/>
        </w:rPr>
        <w:t>O teor de fibra também se encontrou em cont</w:t>
      </w:r>
      <w:r w:rsidR="00192038">
        <w:rPr>
          <w:rFonts w:eastAsiaTheme="minorHAnsi"/>
          <w:color w:val="auto"/>
          <w:szCs w:val="24"/>
          <w:lang w:eastAsia="en-US"/>
        </w:rPr>
        <w:t>eúdos elevados, sendo o ecótipo</w:t>
      </w:r>
      <w:r w:rsidRPr="00CE7FD0">
        <w:rPr>
          <w:rFonts w:eastAsiaTheme="minorHAnsi"/>
          <w:color w:val="auto"/>
          <w:szCs w:val="24"/>
          <w:lang w:eastAsia="en-US"/>
        </w:rPr>
        <w:t xml:space="preserve"> </w:t>
      </w:r>
      <w:r w:rsidR="00192038">
        <w:rPr>
          <w:rFonts w:eastAsiaTheme="minorHAnsi"/>
          <w:color w:val="auto"/>
          <w:szCs w:val="24"/>
          <w:lang w:eastAsia="en-US"/>
        </w:rPr>
        <w:t>‘</w:t>
      </w:r>
      <w:r w:rsidRPr="00CE7FD0">
        <w:rPr>
          <w:rFonts w:eastAsiaTheme="minorHAnsi"/>
          <w:color w:val="auto"/>
          <w:szCs w:val="24"/>
          <w:lang w:eastAsia="en-US"/>
        </w:rPr>
        <w:t>verde</w:t>
      </w:r>
      <w:r w:rsidR="00192038">
        <w:rPr>
          <w:rFonts w:eastAsiaTheme="minorHAnsi"/>
          <w:color w:val="auto"/>
          <w:szCs w:val="24"/>
          <w:lang w:eastAsia="en-US"/>
        </w:rPr>
        <w:t>’</w:t>
      </w:r>
      <w:r w:rsidRPr="00CE7FD0">
        <w:rPr>
          <w:rFonts w:eastAsiaTheme="minorHAnsi"/>
          <w:color w:val="auto"/>
          <w:szCs w:val="24"/>
          <w:lang w:eastAsia="en-US"/>
        </w:rPr>
        <w:t xml:space="preserve"> a que apresenta maior teor. Neste caso os teores mais elevados de fibra são encontrados na polpa</w:t>
      </w:r>
      <w:r w:rsidR="008C0453">
        <w:rPr>
          <w:rFonts w:eastAsiaTheme="minorHAnsi"/>
          <w:color w:val="auto"/>
          <w:szCs w:val="24"/>
          <w:lang w:eastAsia="en-US"/>
        </w:rPr>
        <w:t>, provavelmente isto deve-se às sementes presentes na polpa</w:t>
      </w:r>
    </w:p>
    <w:p w14:paraId="21AB749A" w14:textId="77777777" w:rsidR="00CE7FD0" w:rsidRPr="00CE7FD0" w:rsidRDefault="00CE7FD0" w:rsidP="00192038">
      <w:pPr>
        <w:ind w:right="-1"/>
        <w:rPr>
          <w:rFonts w:eastAsiaTheme="minorHAnsi"/>
          <w:szCs w:val="24"/>
          <w:lang w:eastAsia="en-US"/>
        </w:rPr>
      </w:pPr>
      <w:r w:rsidRPr="00CE7FD0">
        <w:rPr>
          <w:rFonts w:eastAsiaTheme="minorHAnsi"/>
          <w:color w:val="auto"/>
          <w:szCs w:val="24"/>
          <w:lang w:eastAsia="en-US"/>
        </w:rPr>
        <w:t xml:space="preserve">Em suma, os extratos de </w:t>
      </w:r>
      <w:r w:rsidRPr="00CE7FD0">
        <w:rPr>
          <w:rFonts w:eastAsiaTheme="minorHAnsi"/>
          <w:i/>
          <w:color w:val="auto"/>
          <w:szCs w:val="24"/>
          <w:lang w:eastAsia="en-US"/>
        </w:rPr>
        <w:t>Opuntia ficus indica</w:t>
      </w:r>
      <w:r w:rsidR="009B1726">
        <w:rPr>
          <w:rFonts w:eastAsiaTheme="minorHAnsi"/>
          <w:color w:val="auto"/>
          <w:szCs w:val="24"/>
          <w:lang w:eastAsia="en-US"/>
        </w:rPr>
        <w:t>, em especial</w:t>
      </w:r>
      <w:r w:rsidRPr="00CE7FD0">
        <w:rPr>
          <w:rFonts w:eastAsiaTheme="minorHAnsi"/>
          <w:color w:val="auto"/>
          <w:szCs w:val="24"/>
          <w:lang w:eastAsia="en-US"/>
        </w:rPr>
        <w:t xml:space="preserve"> da casca, apresentam um potencial antioxidante cuja utilização pode ser de real importância na indústria farmacêutica, alimentar e cosmética.</w:t>
      </w:r>
    </w:p>
    <w:p w14:paraId="49A50186" w14:textId="628E5D3F" w:rsidR="00CE7FD0" w:rsidRDefault="00CE7FD0" w:rsidP="00CE7FD0">
      <w:pPr>
        <w:rPr>
          <w:rFonts w:eastAsiaTheme="minorHAnsi"/>
          <w:lang w:eastAsia="en-US"/>
        </w:rPr>
      </w:pPr>
    </w:p>
    <w:p w14:paraId="0A9C1202" w14:textId="68448B9E" w:rsidR="00EB1819" w:rsidRDefault="00EB1819" w:rsidP="00CE7FD0">
      <w:pPr>
        <w:rPr>
          <w:rFonts w:eastAsiaTheme="minorHAnsi"/>
          <w:lang w:eastAsia="en-US"/>
        </w:rPr>
      </w:pPr>
    </w:p>
    <w:p w14:paraId="28AD1287" w14:textId="12C73159" w:rsidR="00EB1819" w:rsidRDefault="00EB1819" w:rsidP="00CE7FD0">
      <w:pPr>
        <w:rPr>
          <w:rFonts w:eastAsiaTheme="minorHAnsi"/>
          <w:lang w:eastAsia="en-US"/>
        </w:rPr>
      </w:pPr>
    </w:p>
    <w:p w14:paraId="7EBCCC9D" w14:textId="4C4BFB62" w:rsidR="00EB1819" w:rsidRDefault="00EB1819" w:rsidP="00CE7FD0">
      <w:pPr>
        <w:rPr>
          <w:rFonts w:eastAsiaTheme="minorHAnsi"/>
          <w:lang w:eastAsia="en-US"/>
        </w:rPr>
      </w:pPr>
    </w:p>
    <w:p w14:paraId="19F7AFC0" w14:textId="04914A57" w:rsidR="00EB1819" w:rsidRDefault="00EB1819" w:rsidP="00CE7FD0">
      <w:pPr>
        <w:rPr>
          <w:rFonts w:eastAsiaTheme="minorHAnsi"/>
          <w:lang w:eastAsia="en-US"/>
        </w:rPr>
      </w:pPr>
    </w:p>
    <w:p w14:paraId="54DD8DFF" w14:textId="72B26B86" w:rsidR="00EB1819" w:rsidRDefault="00EB1819" w:rsidP="00CE7FD0">
      <w:pPr>
        <w:rPr>
          <w:rFonts w:eastAsiaTheme="minorHAnsi"/>
          <w:lang w:eastAsia="en-US"/>
        </w:rPr>
      </w:pPr>
    </w:p>
    <w:p w14:paraId="41D3E51F" w14:textId="56F60904" w:rsidR="00EB1819" w:rsidRDefault="00EB1819" w:rsidP="00CE7FD0">
      <w:pPr>
        <w:rPr>
          <w:rFonts w:eastAsiaTheme="minorHAnsi"/>
          <w:lang w:eastAsia="en-US"/>
        </w:rPr>
      </w:pPr>
    </w:p>
    <w:p w14:paraId="37C4C661" w14:textId="7754279F" w:rsidR="00EB1819" w:rsidRDefault="00EB1819" w:rsidP="00CE7FD0">
      <w:pPr>
        <w:rPr>
          <w:rFonts w:eastAsiaTheme="minorHAnsi"/>
          <w:lang w:eastAsia="en-US"/>
        </w:rPr>
      </w:pPr>
    </w:p>
    <w:p w14:paraId="7280ECE7" w14:textId="77777777" w:rsidR="00EB1819" w:rsidRPr="00CE7FD0" w:rsidRDefault="00EB1819" w:rsidP="00CE7FD0">
      <w:pPr>
        <w:rPr>
          <w:rFonts w:eastAsiaTheme="minorHAnsi"/>
          <w:lang w:eastAsia="en-US"/>
        </w:rPr>
      </w:pPr>
    </w:p>
    <w:p w14:paraId="5A3859C1" w14:textId="77777777" w:rsidR="0044264A" w:rsidRPr="0044264A" w:rsidRDefault="0044264A" w:rsidP="0044264A">
      <w:pPr>
        <w:pStyle w:val="Cabealho1"/>
        <w:rPr>
          <w:rFonts w:ascii="Times New Roman" w:hAnsi="Times New Roman" w:cs="Times New Roman"/>
          <w:color w:val="auto"/>
          <w:lang w:eastAsia="en-US"/>
        </w:rPr>
      </w:pPr>
      <w:bookmarkStart w:id="333" w:name="_Toc462709802"/>
      <w:bookmarkStart w:id="334" w:name="_Toc479154879"/>
      <w:r w:rsidRPr="0044264A">
        <w:rPr>
          <w:rFonts w:ascii="Times New Roman" w:hAnsi="Times New Roman" w:cs="Times New Roman"/>
          <w:color w:val="auto"/>
          <w:lang w:eastAsia="en-US"/>
        </w:rPr>
        <w:lastRenderedPageBreak/>
        <w:t xml:space="preserve">5. Perspetivas </w:t>
      </w:r>
      <w:proofErr w:type="gramStart"/>
      <w:r w:rsidRPr="0044264A">
        <w:rPr>
          <w:rFonts w:ascii="Times New Roman" w:hAnsi="Times New Roman" w:cs="Times New Roman"/>
          <w:color w:val="auto"/>
          <w:lang w:eastAsia="en-US"/>
        </w:rPr>
        <w:t>futuras</w:t>
      </w:r>
      <w:bookmarkEnd w:id="333"/>
      <w:bookmarkEnd w:id="334"/>
      <w:proofErr w:type="gramEnd"/>
      <w:r w:rsidRPr="0044264A">
        <w:rPr>
          <w:rFonts w:ascii="Times New Roman" w:hAnsi="Times New Roman" w:cs="Times New Roman"/>
          <w:color w:val="auto"/>
          <w:lang w:eastAsia="en-US"/>
        </w:rPr>
        <w:t xml:space="preserve"> </w:t>
      </w:r>
    </w:p>
    <w:p w14:paraId="3ED8266B" w14:textId="77777777" w:rsidR="0044264A" w:rsidRPr="0044264A" w:rsidRDefault="0044264A" w:rsidP="0044264A">
      <w:pPr>
        <w:spacing w:after="160" w:line="360" w:lineRule="auto"/>
        <w:ind w:left="0" w:right="0" w:firstLine="0"/>
        <w:rPr>
          <w:rFonts w:eastAsiaTheme="minorHAnsi"/>
          <w:color w:val="auto"/>
          <w:sz w:val="28"/>
          <w:lang w:eastAsia="en-US"/>
        </w:rPr>
      </w:pPr>
    </w:p>
    <w:p w14:paraId="0546A088" w14:textId="51C07E0C" w:rsidR="0044264A" w:rsidRDefault="0044264A" w:rsidP="0044264A">
      <w:pPr>
        <w:spacing w:after="160" w:line="360" w:lineRule="auto"/>
        <w:ind w:left="0" w:right="0" w:firstLine="0"/>
        <w:rPr>
          <w:rFonts w:eastAsiaTheme="minorHAnsi"/>
          <w:color w:val="auto"/>
          <w:szCs w:val="24"/>
          <w:lang w:eastAsia="en-US"/>
        </w:rPr>
      </w:pPr>
      <w:r w:rsidRPr="0044264A">
        <w:rPr>
          <w:rFonts w:eastAsiaTheme="minorHAnsi"/>
          <w:color w:val="auto"/>
          <w:szCs w:val="24"/>
          <w:lang w:eastAsia="en-US"/>
        </w:rPr>
        <w:t>Uma das necessidades da indústria de figos da índia é o desenvolvimento de novos produtos, bem como fruta</w:t>
      </w:r>
      <w:r w:rsidR="00FD7427">
        <w:rPr>
          <w:rFonts w:eastAsiaTheme="minorHAnsi"/>
          <w:color w:val="auto"/>
          <w:szCs w:val="24"/>
          <w:lang w:eastAsia="en-US"/>
        </w:rPr>
        <w:t xml:space="preserve"> fresca </w:t>
      </w:r>
      <w:r w:rsidRPr="0044264A">
        <w:rPr>
          <w:rFonts w:eastAsiaTheme="minorHAnsi"/>
          <w:color w:val="auto"/>
          <w:szCs w:val="24"/>
          <w:lang w:eastAsia="en-US"/>
        </w:rPr>
        <w:t>ou processados.</w:t>
      </w:r>
    </w:p>
    <w:p w14:paraId="018923BA" w14:textId="2998791E" w:rsidR="00542CFE" w:rsidRPr="0044264A" w:rsidRDefault="00542CFE" w:rsidP="0044264A">
      <w:pPr>
        <w:spacing w:after="160" w:line="360" w:lineRule="auto"/>
        <w:ind w:left="0" w:right="0" w:firstLine="0"/>
        <w:rPr>
          <w:rFonts w:eastAsiaTheme="minorHAnsi"/>
          <w:color w:val="auto"/>
          <w:szCs w:val="24"/>
          <w:lang w:eastAsia="en-US"/>
        </w:rPr>
      </w:pPr>
      <w:r>
        <w:rPr>
          <w:rFonts w:eastAsiaTheme="minorHAnsi"/>
          <w:color w:val="auto"/>
          <w:szCs w:val="24"/>
          <w:lang w:eastAsia="en-US"/>
        </w:rPr>
        <w:t>Uma vez concluído que o figo-da-índia é interessante do ponto de vista funcional e nutricional, em qualquer das variedades estudadas podem ser rentáveis no processamento industrial em diversas aplicações</w:t>
      </w:r>
      <w:r w:rsidR="00FD7427">
        <w:rPr>
          <w:rFonts w:eastAsiaTheme="minorHAnsi"/>
          <w:color w:val="auto"/>
          <w:szCs w:val="24"/>
          <w:lang w:eastAsia="en-US"/>
        </w:rPr>
        <w:t>.</w:t>
      </w:r>
    </w:p>
    <w:p w14:paraId="052C5165" w14:textId="77777777" w:rsidR="0044264A" w:rsidRPr="0044264A" w:rsidRDefault="0044264A" w:rsidP="0044264A">
      <w:pPr>
        <w:spacing w:after="160" w:line="360" w:lineRule="auto"/>
        <w:ind w:left="0" w:right="0" w:firstLine="0"/>
        <w:rPr>
          <w:rFonts w:eastAsiaTheme="minorHAnsi"/>
          <w:color w:val="auto"/>
          <w:szCs w:val="24"/>
          <w:lang w:eastAsia="en-US"/>
        </w:rPr>
      </w:pPr>
      <w:r w:rsidRPr="0044264A">
        <w:rPr>
          <w:rFonts w:eastAsiaTheme="minorHAnsi"/>
          <w:color w:val="auto"/>
          <w:szCs w:val="24"/>
          <w:lang w:eastAsia="en-US"/>
        </w:rPr>
        <w:t>Uma vez que a casca apresenta bastantes componentes funcionais pode abrir novos horizontes para um futuro de processos biotecnológicos para vastas áreas.</w:t>
      </w:r>
    </w:p>
    <w:p w14:paraId="103B335D" w14:textId="36367E80" w:rsidR="0044264A" w:rsidRDefault="0044264A" w:rsidP="0044264A">
      <w:pPr>
        <w:spacing w:after="160" w:line="360" w:lineRule="auto"/>
        <w:ind w:left="0" w:right="0" w:firstLine="0"/>
        <w:rPr>
          <w:rFonts w:eastAsiaTheme="minorHAnsi"/>
          <w:color w:val="auto"/>
          <w:szCs w:val="24"/>
          <w:lang w:eastAsia="en-US"/>
        </w:rPr>
      </w:pPr>
      <w:r w:rsidRPr="0044264A">
        <w:rPr>
          <w:rFonts w:eastAsiaTheme="minorHAnsi"/>
          <w:color w:val="auto"/>
          <w:szCs w:val="24"/>
          <w:lang w:eastAsia="en-US"/>
        </w:rPr>
        <w:t xml:space="preserve">Esta </w:t>
      </w:r>
      <w:proofErr w:type="gramStart"/>
      <w:r w:rsidRPr="0044264A">
        <w:rPr>
          <w:rFonts w:eastAsiaTheme="minorHAnsi"/>
          <w:color w:val="auto"/>
          <w:szCs w:val="24"/>
          <w:lang w:eastAsia="en-US"/>
        </w:rPr>
        <w:t>matéria prima</w:t>
      </w:r>
      <w:proofErr w:type="gramEnd"/>
      <w:r w:rsidRPr="0044264A">
        <w:rPr>
          <w:rFonts w:eastAsiaTheme="minorHAnsi"/>
          <w:color w:val="auto"/>
          <w:szCs w:val="24"/>
          <w:lang w:eastAsia="en-US"/>
        </w:rPr>
        <w:t xml:space="preserve"> encontra-se disponível em países em desenvolvimento devido as suas zonas áridas ou semiáridas podendo levar a estimular o interesse da construção de fortes bioindústrias de biotecnologia elevando a sua economia</w:t>
      </w:r>
      <w:r w:rsidR="00FD7427">
        <w:rPr>
          <w:rFonts w:eastAsiaTheme="minorHAnsi"/>
          <w:color w:val="auto"/>
          <w:szCs w:val="24"/>
          <w:lang w:eastAsia="en-US"/>
        </w:rPr>
        <w:t>.</w:t>
      </w:r>
    </w:p>
    <w:p w14:paraId="4A2E2114" w14:textId="02828AE3" w:rsidR="00542CFE" w:rsidRPr="0044264A" w:rsidRDefault="00542CFE" w:rsidP="0044264A">
      <w:pPr>
        <w:spacing w:after="160" w:line="360" w:lineRule="auto"/>
        <w:ind w:left="0" w:right="0" w:firstLine="0"/>
        <w:rPr>
          <w:rFonts w:eastAsiaTheme="minorHAnsi"/>
          <w:color w:val="auto"/>
          <w:szCs w:val="24"/>
          <w:lang w:eastAsia="en-US"/>
        </w:rPr>
      </w:pPr>
      <w:r>
        <w:rPr>
          <w:rFonts w:eastAsiaTheme="minorHAnsi"/>
          <w:color w:val="auto"/>
          <w:szCs w:val="24"/>
          <w:lang w:eastAsia="en-US"/>
        </w:rPr>
        <w:t>Este fruto é também um forte candidato para a produção de suplementos ou para melhorar a composição de outros produtos alimentares.</w:t>
      </w:r>
    </w:p>
    <w:p w14:paraId="66B7CFDD" w14:textId="77777777" w:rsidR="0044264A" w:rsidRDefault="0044264A" w:rsidP="0044264A">
      <w:pPr>
        <w:spacing w:after="160" w:line="360" w:lineRule="auto"/>
        <w:ind w:left="0" w:right="0" w:firstLine="0"/>
        <w:rPr>
          <w:rFonts w:eastAsiaTheme="minorHAnsi"/>
          <w:color w:val="auto"/>
          <w:sz w:val="22"/>
          <w:lang w:eastAsia="en-US"/>
        </w:rPr>
      </w:pPr>
      <w:r w:rsidRPr="0044264A">
        <w:rPr>
          <w:rFonts w:eastAsiaTheme="minorHAnsi"/>
          <w:color w:val="auto"/>
          <w:szCs w:val="24"/>
          <w:lang w:eastAsia="en-US"/>
        </w:rPr>
        <w:t>Existe ainda a possibilidade de efetuar novos estudos relacionados com o resto da planta como caule e flores para aumentar o seu conhecimento pois outros estudos já mencionaram que estes contêm um potencial medicinal</w:t>
      </w:r>
      <w:r w:rsidRPr="0044264A">
        <w:rPr>
          <w:rFonts w:eastAsiaTheme="minorHAnsi"/>
          <w:color w:val="auto"/>
          <w:sz w:val="22"/>
          <w:lang w:eastAsia="en-US"/>
        </w:rPr>
        <w:t>.</w:t>
      </w:r>
    </w:p>
    <w:p w14:paraId="34AE4E44" w14:textId="77777777" w:rsidR="00542CFE" w:rsidRDefault="00542CFE" w:rsidP="0044264A">
      <w:pPr>
        <w:spacing w:after="160" w:line="360" w:lineRule="auto"/>
        <w:ind w:left="0" w:right="0" w:firstLine="0"/>
        <w:rPr>
          <w:rFonts w:eastAsiaTheme="minorHAnsi"/>
          <w:color w:val="auto"/>
          <w:sz w:val="22"/>
          <w:lang w:eastAsia="en-US"/>
        </w:rPr>
      </w:pPr>
    </w:p>
    <w:p w14:paraId="1DFD5FA5" w14:textId="77777777" w:rsidR="00542CFE" w:rsidRDefault="00542CFE" w:rsidP="0044264A">
      <w:pPr>
        <w:spacing w:after="160" w:line="360" w:lineRule="auto"/>
        <w:ind w:left="0" w:right="0" w:firstLine="0"/>
        <w:rPr>
          <w:rFonts w:eastAsiaTheme="minorHAnsi"/>
          <w:color w:val="auto"/>
          <w:sz w:val="22"/>
          <w:lang w:eastAsia="en-US"/>
        </w:rPr>
      </w:pPr>
    </w:p>
    <w:p w14:paraId="1C4B07B9" w14:textId="77777777" w:rsidR="00542CFE" w:rsidRDefault="00542CFE" w:rsidP="0044264A">
      <w:pPr>
        <w:spacing w:after="160" w:line="360" w:lineRule="auto"/>
        <w:ind w:left="0" w:right="0" w:firstLine="0"/>
        <w:rPr>
          <w:rFonts w:eastAsiaTheme="minorHAnsi"/>
          <w:color w:val="auto"/>
          <w:sz w:val="22"/>
          <w:lang w:eastAsia="en-US"/>
        </w:rPr>
      </w:pPr>
    </w:p>
    <w:p w14:paraId="05740254" w14:textId="77777777" w:rsidR="00542CFE" w:rsidRDefault="00542CFE" w:rsidP="0044264A">
      <w:pPr>
        <w:spacing w:after="160" w:line="360" w:lineRule="auto"/>
        <w:ind w:left="0" w:right="0" w:firstLine="0"/>
        <w:rPr>
          <w:rFonts w:eastAsiaTheme="minorHAnsi"/>
          <w:color w:val="auto"/>
          <w:sz w:val="22"/>
          <w:lang w:eastAsia="en-US"/>
        </w:rPr>
      </w:pPr>
    </w:p>
    <w:p w14:paraId="4E89F3E2" w14:textId="77777777" w:rsidR="00542CFE" w:rsidRDefault="00542CFE" w:rsidP="0044264A">
      <w:pPr>
        <w:spacing w:after="160" w:line="360" w:lineRule="auto"/>
        <w:ind w:left="0" w:right="0" w:firstLine="0"/>
        <w:rPr>
          <w:rFonts w:eastAsiaTheme="minorHAnsi"/>
          <w:color w:val="auto"/>
          <w:sz w:val="22"/>
          <w:lang w:eastAsia="en-US"/>
        </w:rPr>
      </w:pPr>
    </w:p>
    <w:p w14:paraId="1D5DF4C1" w14:textId="77777777" w:rsidR="00542CFE" w:rsidRDefault="00542CFE" w:rsidP="0044264A">
      <w:pPr>
        <w:spacing w:after="160" w:line="360" w:lineRule="auto"/>
        <w:ind w:left="0" w:right="0" w:firstLine="0"/>
        <w:rPr>
          <w:rFonts w:eastAsiaTheme="minorHAnsi"/>
          <w:color w:val="auto"/>
          <w:sz w:val="22"/>
          <w:lang w:eastAsia="en-US"/>
        </w:rPr>
      </w:pPr>
    </w:p>
    <w:p w14:paraId="388346D0" w14:textId="77777777" w:rsidR="00542CFE" w:rsidRDefault="00542CFE" w:rsidP="0044264A">
      <w:pPr>
        <w:spacing w:after="160" w:line="360" w:lineRule="auto"/>
        <w:ind w:left="0" w:right="0" w:firstLine="0"/>
        <w:rPr>
          <w:rFonts w:eastAsiaTheme="minorHAnsi"/>
          <w:color w:val="auto"/>
          <w:sz w:val="22"/>
          <w:lang w:eastAsia="en-US"/>
        </w:rPr>
      </w:pPr>
    </w:p>
    <w:p w14:paraId="1F4063F8" w14:textId="77777777" w:rsidR="00542CFE" w:rsidRDefault="00542CFE" w:rsidP="0044264A">
      <w:pPr>
        <w:spacing w:after="160" w:line="360" w:lineRule="auto"/>
        <w:ind w:left="0" w:right="0" w:firstLine="0"/>
        <w:rPr>
          <w:rFonts w:eastAsiaTheme="minorHAnsi"/>
          <w:color w:val="auto"/>
          <w:sz w:val="22"/>
          <w:lang w:eastAsia="en-US"/>
        </w:rPr>
      </w:pPr>
    </w:p>
    <w:p w14:paraId="3A30B5ED" w14:textId="09BB1DD5" w:rsidR="00542CFE" w:rsidRPr="0044264A" w:rsidRDefault="00542CFE" w:rsidP="0044264A">
      <w:pPr>
        <w:spacing w:after="160" w:line="360" w:lineRule="auto"/>
        <w:ind w:left="0" w:right="0" w:firstLine="0"/>
        <w:rPr>
          <w:rFonts w:eastAsiaTheme="minorHAnsi"/>
          <w:color w:val="auto"/>
          <w:sz w:val="22"/>
          <w:lang w:eastAsia="en-US"/>
        </w:rPr>
      </w:pPr>
    </w:p>
    <w:p w14:paraId="79C01618" w14:textId="77777777" w:rsidR="0044264A" w:rsidRDefault="0044264A" w:rsidP="006C2067">
      <w:pPr>
        <w:pStyle w:val="Cabealho1"/>
        <w:ind w:left="0" w:right="-1" w:firstLine="0"/>
        <w:rPr>
          <w:rFonts w:ascii="Times New Roman" w:hAnsi="Times New Roman" w:cs="Times New Roman"/>
          <w:color w:val="auto"/>
          <w:lang w:eastAsia="en-US"/>
        </w:rPr>
      </w:pPr>
      <w:bookmarkStart w:id="335" w:name="_Toc479154880"/>
      <w:r w:rsidRPr="0044264A">
        <w:rPr>
          <w:rFonts w:ascii="Times New Roman" w:hAnsi="Times New Roman" w:cs="Times New Roman"/>
          <w:color w:val="auto"/>
          <w:lang w:eastAsia="en-US"/>
        </w:rPr>
        <w:lastRenderedPageBreak/>
        <w:t>6. Referências bibliográficas</w:t>
      </w:r>
      <w:bookmarkEnd w:id="335"/>
    </w:p>
    <w:p w14:paraId="591C7E1E" w14:textId="77777777" w:rsidR="0044264A" w:rsidRPr="0044264A" w:rsidRDefault="0044264A" w:rsidP="00616D64">
      <w:pPr>
        <w:ind w:right="-1"/>
        <w:rPr>
          <w:rFonts w:eastAsiaTheme="minorHAnsi"/>
          <w:lang w:eastAsia="en-US"/>
        </w:rPr>
      </w:pPr>
    </w:p>
    <w:p w14:paraId="492AD10F" w14:textId="6E133632" w:rsidR="00D413A1" w:rsidRPr="00B50684" w:rsidRDefault="0044264A" w:rsidP="00D413A1">
      <w:pPr>
        <w:widowControl w:val="0"/>
        <w:autoSpaceDE w:val="0"/>
        <w:autoSpaceDN w:val="0"/>
        <w:adjustRightInd w:val="0"/>
        <w:spacing w:after="0" w:line="360" w:lineRule="auto"/>
        <w:ind w:left="480" w:hanging="480"/>
        <w:rPr>
          <w:noProof/>
          <w:szCs w:val="24"/>
          <w:lang w:val="en-US"/>
        </w:rPr>
      </w:pPr>
      <w:r>
        <w:rPr>
          <w:color w:val="auto"/>
        </w:rPr>
        <w:fldChar w:fldCharType="begin" w:fldLock="1"/>
      </w:r>
      <w:r>
        <w:rPr>
          <w:color w:val="auto"/>
        </w:rPr>
        <w:instrText xml:space="preserve">ADDIN Mendeley Bibliography CSL_BIBLIOGRAPHY </w:instrText>
      </w:r>
      <w:r>
        <w:rPr>
          <w:color w:val="auto"/>
        </w:rPr>
        <w:fldChar w:fldCharType="separate"/>
      </w:r>
      <w:r w:rsidR="00D413A1" w:rsidRPr="00D413A1">
        <w:rPr>
          <w:noProof/>
          <w:szCs w:val="24"/>
        </w:rPr>
        <w:t xml:space="preserve">Abou-Elella, F. M., &amp; Ali, R. F. M. (2014). </w:t>
      </w:r>
      <w:r w:rsidR="00D413A1" w:rsidRPr="00B50684">
        <w:rPr>
          <w:noProof/>
          <w:szCs w:val="24"/>
          <w:lang w:val="en-US"/>
        </w:rPr>
        <w:t xml:space="preserve">Antioxidant and Anticancer Activities of Different Constituents Extracted from Egyptian Prickly Pear Cactus (Opuntia ficus-indica) Peel. </w:t>
      </w:r>
      <w:r w:rsidR="00D413A1" w:rsidRPr="00B50684">
        <w:rPr>
          <w:i/>
          <w:iCs/>
          <w:noProof/>
          <w:szCs w:val="24"/>
          <w:lang w:val="en-US"/>
        </w:rPr>
        <w:t>Biochemistry &amp; Analytical Biochemistry</w:t>
      </w:r>
      <w:r w:rsidR="00D413A1" w:rsidRPr="00B50684">
        <w:rPr>
          <w:noProof/>
          <w:szCs w:val="24"/>
          <w:lang w:val="en-US"/>
        </w:rPr>
        <w:t xml:space="preserve">, </w:t>
      </w:r>
      <w:r w:rsidR="00D413A1" w:rsidRPr="00B50684">
        <w:rPr>
          <w:i/>
          <w:iCs/>
          <w:noProof/>
          <w:szCs w:val="24"/>
          <w:lang w:val="en-US"/>
        </w:rPr>
        <w:t>3</w:t>
      </w:r>
      <w:r w:rsidR="00D413A1" w:rsidRPr="00B50684">
        <w:rPr>
          <w:noProof/>
          <w:szCs w:val="24"/>
          <w:lang w:val="en-US"/>
        </w:rPr>
        <w:t>(2), 1–9. http://doi.org/10.4172/2161-1009.1000158</w:t>
      </w:r>
    </w:p>
    <w:p w14:paraId="0AA3073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Ajila, C., Leevalathi, K., &amp; Rao, U. P. (2008). Improvement of dietary fiber content and antioxidant properties in soft dough biscuits with the incorporation of Mango peel powder. </w:t>
      </w:r>
      <w:r w:rsidRPr="00B50684">
        <w:rPr>
          <w:i/>
          <w:iCs/>
          <w:noProof/>
          <w:szCs w:val="24"/>
          <w:lang w:val="en-US"/>
        </w:rPr>
        <w:t>Journal of Cereal Science</w:t>
      </w:r>
      <w:r w:rsidRPr="00B50684">
        <w:rPr>
          <w:noProof/>
          <w:szCs w:val="24"/>
          <w:lang w:val="en-US"/>
        </w:rPr>
        <w:t xml:space="preserve">, </w:t>
      </w:r>
      <w:r w:rsidRPr="00B50684">
        <w:rPr>
          <w:i/>
          <w:iCs/>
          <w:noProof/>
          <w:szCs w:val="24"/>
          <w:lang w:val="en-US"/>
        </w:rPr>
        <w:t>48</w:t>
      </w:r>
      <w:r w:rsidRPr="00B50684">
        <w:rPr>
          <w:noProof/>
          <w:szCs w:val="24"/>
          <w:lang w:val="en-US"/>
        </w:rPr>
        <w:t>(2), 319–326. http://doi.org/https://doi.org/10.1016/j.jcs.2007.10.001</w:t>
      </w:r>
    </w:p>
    <w:p w14:paraId="2B579501"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Álvarez, E. E., &amp; Sánchez, G. (2006). La fibra dietética. </w:t>
      </w:r>
      <w:r w:rsidRPr="00D413A1">
        <w:rPr>
          <w:i/>
          <w:iCs/>
          <w:noProof/>
          <w:szCs w:val="24"/>
        </w:rPr>
        <w:t>Nutrición Hospitalaria</w:t>
      </w:r>
      <w:r w:rsidRPr="00D413A1">
        <w:rPr>
          <w:noProof/>
          <w:szCs w:val="24"/>
        </w:rPr>
        <w:t xml:space="preserve">, </w:t>
      </w:r>
      <w:r w:rsidRPr="00D413A1">
        <w:rPr>
          <w:i/>
          <w:iCs/>
          <w:noProof/>
          <w:szCs w:val="24"/>
        </w:rPr>
        <w:t>21</w:t>
      </w:r>
      <w:r w:rsidRPr="00D413A1">
        <w:rPr>
          <w:noProof/>
          <w:szCs w:val="24"/>
        </w:rPr>
        <w:t>(2), 61–72.</w:t>
      </w:r>
    </w:p>
    <w:p w14:paraId="59FC15A9"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Alves, J. (2011). </w:t>
      </w:r>
      <w:r w:rsidRPr="00D413A1">
        <w:rPr>
          <w:i/>
          <w:iCs/>
          <w:noProof/>
          <w:szCs w:val="24"/>
        </w:rPr>
        <w:t>Perspectivas de utilização da figueira-da-índia no Alentejo : caracterização de Opuntia sp . no Litoral Alentejano e na Tapada da Ajuda e estudo da instalação de um pomar</w:t>
      </w:r>
      <w:r w:rsidRPr="00D413A1">
        <w:rPr>
          <w:noProof/>
          <w:szCs w:val="24"/>
        </w:rPr>
        <w:t>. Universidade técnica de Lisboa.</w:t>
      </w:r>
    </w:p>
    <w:p w14:paraId="36D7ED7B"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Alves, J. C. R., Mota, M. O., &amp; M., C. (2014). A figueira-da-índia. Retrieved January 25, 2016, from http://www.agronegocios.eu/noticias/a-figueira-da-india/</w:t>
      </w:r>
    </w:p>
    <w:p w14:paraId="14BE4F8B"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Anderson, J. W., &amp; Bridge, S. R. (1988). Dietary fiber content of selected food. </w:t>
      </w:r>
      <w:r w:rsidRPr="00B50684">
        <w:rPr>
          <w:i/>
          <w:iCs/>
          <w:noProof/>
          <w:szCs w:val="24"/>
          <w:lang w:val="en-US"/>
        </w:rPr>
        <w:t>American Journal of Clinical Nutrition</w:t>
      </w:r>
      <w:r w:rsidRPr="00B50684">
        <w:rPr>
          <w:noProof/>
          <w:szCs w:val="24"/>
          <w:lang w:val="en-US"/>
        </w:rPr>
        <w:t>, 440–448.</w:t>
      </w:r>
    </w:p>
    <w:p w14:paraId="63FE426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Anderson, J. W., &amp; Bridges, S. R. (1988). Dietary fiber content of selected foods. </w:t>
      </w:r>
      <w:r w:rsidRPr="00B50684">
        <w:rPr>
          <w:i/>
          <w:iCs/>
          <w:noProof/>
          <w:szCs w:val="24"/>
          <w:lang w:val="en-US"/>
        </w:rPr>
        <w:t>The American Society for Clinical Nutrition</w:t>
      </w:r>
      <w:r w:rsidRPr="00B50684">
        <w:rPr>
          <w:noProof/>
          <w:szCs w:val="24"/>
          <w:lang w:val="en-US"/>
        </w:rPr>
        <w:t xml:space="preserve">, </w:t>
      </w:r>
      <w:r w:rsidRPr="00B50684">
        <w:rPr>
          <w:i/>
          <w:iCs/>
          <w:noProof/>
          <w:szCs w:val="24"/>
          <w:lang w:val="en-US"/>
        </w:rPr>
        <w:t>47</w:t>
      </w:r>
      <w:r w:rsidRPr="00B50684">
        <w:rPr>
          <w:noProof/>
          <w:szCs w:val="24"/>
          <w:lang w:val="en-US"/>
        </w:rPr>
        <w:t>(3), 440–447.</w:t>
      </w:r>
    </w:p>
    <w:p w14:paraId="2C45C754"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Anónimo. (n.d.). Figo da Índia. Retrieved August 2, 2016, from http://www.adral.pt/pt/rrsilvestres/recursos/Paginas/Figo-da-%25C3%258Dndia.aspx</w:t>
      </w:r>
    </w:p>
    <w:p w14:paraId="0BFCA28F"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Anónimo. (2013a). Afinal, o que são taninos? </w:t>
      </w:r>
      <w:r w:rsidRPr="00B50684">
        <w:rPr>
          <w:noProof/>
          <w:szCs w:val="24"/>
          <w:lang w:val="en-US"/>
        </w:rPr>
        <w:t>Retrieved April 3, 2017, from www.tintosetantos.com</w:t>
      </w:r>
    </w:p>
    <w:p w14:paraId="75F4EE8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Anónimo. (2013b). O que são compostos fenólicos? </w:t>
      </w:r>
      <w:r w:rsidRPr="00B50684">
        <w:rPr>
          <w:noProof/>
          <w:szCs w:val="24"/>
          <w:lang w:val="en-US"/>
        </w:rPr>
        <w:t>Retrieved March 14, 2016, from http://www.portaleducacao.com.br/farmacia/artigos/46128/o-que-sao-compostos-fenolicos</w:t>
      </w:r>
    </w:p>
    <w:p w14:paraId="506FEC8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Anónimo. (2016). Figo-da-Índia em debate no Alentejo. </w:t>
      </w:r>
      <w:r w:rsidRPr="00B50684">
        <w:rPr>
          <w:noProof/>
          <w:szCs w:val="24"/>
          <w:lang w:val="en-US"/>
        </w:rPr>
        <w:t xml:space="preserve">Retrieved August 2, </w:t>
      </w:r>
      <w:r w:rsidRPr="00B50684">
        <w:rPr>
          <w:noProof/>
          <w:szCs w:val="24"/>
          <w:lang w:val="en-US"/>
        </w:rPr>
        <w:lastRenderedPageBreak/>
        <w:t>2016, from http://www.agrotec.pt/noticias/figo-da-india-em-debate-no-alentejo/</w:t>
      </w:r>
    </w:p>
    <w:p w14:paraId="70D1496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APPC. (2012). É tempo de frutas. </w:t>
      </w:r>
      <w:r w:rsidRPr="00B50684">
        <w:rPr>
          <w:noProof/>
          <w:szCs w:val="24"/>
          <w:lang w:val="en-US"/>
        </w:rPr>
        <w:t>Retrieved August 18, 2016, from http://appckaki.blogspot.pt/2012/12/o-que-e-grau-brix.html</w:t>
      </w:r>
    </w:p>
    <w:p w14:paraId="27FA299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Arts, M. J. T. ., Haenen, G. R. M. ., Voss, H.-P., &amp; Bast, A. (2004). Antioxidant capacity of reaction products limits the applicability of the Trolox Equivalent Antioxidant Capacity (TEAC) assay. </w:t>
      </w:r>
      <w:r w:rsidRPr="00B50684">
        <w:rPr>
          <w:i/>
          <w:iCs/>
          <w:noProof/>
          <w:szCs w:val="24"/>
          <w:lang w:val="en-US"/>
        </w:rPr>
        <w:t>Food and Chemical Toxicology</w:t>
      </w:r>
      <w:r w:rsidRPr="00B50684">
        <w:rPr>
          <w:noProof/>
          <w:szCs w:val="24"/>
          <w:lang w:val="en-US"/>
        </w:rPr>
        <w:t xml:space="preserve">, </w:t>
      </w:r>
      <w:r w:rsidRPr="00B50684">
        <w:rPr>
          <w:i/>
          <w:iCs/>
          <w:noProof/>
          <w:szCs w:val="24"/>
          <w:lang w:val="en-US"/>
        </w:rPr>
        <w:t>42</w:t>
      </w:r>
      <w:r w:rsidRPr="00B50684">
        <w:rPr>
          <w:noProof/>
          <w:szCs w:val="24"/>
          <w:lang w:val="en-US"/>
        </w:rPr>
        <w:t>(1), 45–49. http://doi.org/doi:10.1016/j.fct.2003.08.004</w:t>
      </w:r>
    </w:p>
    <w:p w14:paraId="431A8E2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Ashraf, N. M. E., Zeinab, I. N., &amp; Sahar, A. R. (2011). Prickly Pear [ Opuntia ficus-indica ( L .) Mill ] Peels : Chemical Composition , Nutritional Value and Protective Effects on Liver and Kidney Functions and Cholesterol in Rats. </w:t>
      </w:r>
      <w:r w:rsidRPr="00B50684">
        <w:rPr>
          <w:i/>
          <w:iCs/>
          <w:noProof/>
          <w:szCs w:val="24"/>
          <w:lang w:val="en-US"/>
        </w:rPr>
        <w:t>Functional Plant Science and Biotecnology</w:t>
      </w:r>
      <w:r w:rsidRPr="00B50684">
        <w:rPr>
          <w:noProof/>
          <w:szCs w:val="24"/>
          <w:lang w:val="en-US"/>
        </w:rPr>
        <w:t xml:space="preserve">, </w:t>
      </w:r>
      <w:r w:rsidRPr="00B50684">
        <w:rPr>
          <w:i/>
          <w:iCs/>
          <w:noProof/>
          <w:szCs w:val="24"/>
          <w:lang w:val="en-US"/>
        </w:rPr>
        <w:t>5</w:t>
      </w:r>
      <w:r w:rsidRPr="00B50684">
        <w:rPr>
          <w:noProof/>
          <w:szCs w:val="24"/>
          <w:lang w:val="en-US"/>
        </w:rPr>
        <w:t>(1), 30–35.</w:t>
      </w:r>
    </w:p>
    <w:p w14:paraId="6CCC312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Augustyniak, A., Bartosz, G., Čipak, A., Duburs, G., Horáková, L., Łuczaj, W., … Žarković, N. (2010). Natural and synthetic antioxidants: An updated overview. </w:t>
      </w:r>
      <w:r w:rsidRPr="00B50684">
        <w:rPr>
          <w:i/>
          <w:iCs/>
          <w:noProof/>
          <w:szCs w:val="24"/>
          <w:lang w:val="en-US"/>
        </w:rPr>
        <w:t>Free Radical Research</w:t>
      </w:r>
      <w:r w:rsidRPr="00B50684">
        <w:rPr>
          <w:noProof/>
          <w:szCs w:val="24"/>
          <w:lang w:val="en-US"/>
        </w:rPr>
        <w:t xml:space="preserve">, </w:t>
      </w:r>
      <w:r w:rsidRPr="00B50684">
        <w:rPr>
          <w:i/>
          <w:iCs/>
          <w:noProof/>
          <w:szCs w:val="24"/>
          <w:lang w:val="en-US"/>
        </w:rPr>
        <w:t>44</w:t>
      </w:r>
      <w:r w:rsidRPr="00B50684">
        <w:rPr>
          <w:noProof/>
          <w:szCs w:val="24"/>
          <w:lang w:val="en-US"/>
        </w:rPr>
        <w:t>(10), 1216–1262. http://doi.org/10.3109/10715762.2010.508495</w:t>
      </w:r>
    </w:p>
    <w:p w14:paraId="70868DD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Avenue theme. (2011). Controlar o pH do corpo significa ter saúde e ficar livre de doenças. </w:t>
      </w:r>
      <w:r w:rsidRPr="00B50684">
        <w:rPr>
          <w:noProof/>
          <w:szCs w:val="24"/>
          <w:lang w:val="en-US"/>
        </w:rPr>
        <w:t>Retrieved August 19, 2016, from http://www.vidaesaude.org/nutricao-saude/controlar-o-ph-do-corpo-significa-ter-saude-e-ficar-livre-de-doencas.html</w:t>
      </w:r>
    </w:p>
    <w:p w14:paraId="74FC67DD"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Azeredo, H. M. (2008). Betalains: properties, source, applications and stability - a review. </w:t>
      </w:r>
      <w:r w:rsidRPr="00B50684">
        <w:rPr>
          <w:i/>
          <w:iCs/>
          <w:noProof/>
          <w:szCs w:val="24"/>
          <w:lang w:val="en-US"/>
        </w:rPr>
        <w:t>International Journal of Food Science + Technology</w:t>
      </w:r>
      <w:r w:rsidRPr="00B50684">
        <w:rPr>
          <w:noProof/>
          <w:szCs w:val="24"/>
          <w:lang w:val="en-US"/>
        </w:rPr>
        <w:t xml:space="preserve">, </w:t>
      </w:r>
      <w:r w:rsidRPr="00B50684">
        <w:rPr>
          <w:i/>
          <w:iCs/>
          <w:noProof/>
          <w:szCs w:val="24"/>
          <w:lang w:val="en-US"/>
        </w:rPr>
        <w:t>44</w:t>
      </w:r>
      <w:r w:rsidRPr="00B50684">
        <w:rPr>
          <w:noProof/>
          <w:szCs w:val="24"/>
          <w:lang w:val="en-US"/>
        </w:rPr>
        <w:t>(12), 2365–2376.</w:t>
      </w:r>
    </w:p>
    <w:p w14:paraId="122985BF"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Balasundram, N., Sundram, K., &amp; Samman, S. (2006). Phenolic compounds in plants and agri-industrial by-products: Antioxidant activity, occurrence, and potential uses. </w:t>
      </w:r>
      <w:r w:rsidRPr="00B50684">
        <w:rPr>
          <w:i/>
          <w:iCs/>
          <w:noProof/>
          <w:szCs w:val="24"/>
          <w:lang w:val="en-US"/>
        </w:rPr>
        <w:t>Food Chemistry</w:t>
      </w:r>
      <w:r w:rsidRPr="00B50684">
        <w:rPr>
          <w:noProof/>
          <w:szCs w:val="24"/>
          <w:lang w:val="en-US"/>
        </w:rPr>
        <w:t xml:space="preserve">, </w:t>
      </w:r>
      <w:r w:rsidRPr="00B50684">
        <w:rPr>
          <w:i/>
          <w:iCs/>
          <w:noProof/>
          <w:szCs w:val="24"/>
          <w:lang w:val="en-US"/>
        </w:rPr>
        <w:t>99</w:t>
      </w:r>
      <w:r w:rsidRPr="00B50684">
        <w:rPr>
          <w:noProof/>
          <w:szCs w:val="24"/>
          <w:lang w:val="en-US"/>
        </w:rPr>
        <w:t>(1), 191–203. http://doi.org/10.1016/j.foodchem.2005.07.042</w:t>
      </w:r>
    </w:p>
    <w:p w14:paraId="5DFC989F"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Ball, D. W. (2006). Concentration scales for sugar solutions. </w:t>
      </w:r>
      <w:r w:rsidRPr="00B50684">
        <w:rPr>
          <w:i/>
          <w:iCs/>
          <w:noProof/>
          <w:szCs w:val="24"/>
          <w:lang w:val="en-US"/>
        </w:rPr>
        <w:t>Journal of Chemical Education</w:t>
      </w:r>
      <w:r w:rsidRPr="00B50684">
        <w:rPr>
          <w:noProof/>
          <w:szCs w:val="24"/>
          <w:lang w:val="en-US"/>
        </w:rPr>
        <w:t xml:space="preserve">, </w:t>
      </w:r>
      <w:r w:rsidRPr="00B50684">
        <w:rPr>
          <w:i/>
          <w:iCs/>
          <w:noProof/>
          <w:szCs w:val="24"/>
          <w:lang w:val="en-US"/>
        </w:rPr>
        <w:t>83</w:t>
      </w:r>
      <w:r w:rsidRPr="00B50684">
        <w:rPr>
          <w:noProof/>
          <w:szCs w:val="24"/>
          <w:lang w:val="en-US"/>
        </w:rPr>
        <w:t>, 1496. http://doi.org/10.1021/ed083p1489</w:t>
      </w:r>
    </w:p>
    <w:p w14:paraId="3E77FA5B"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Barreiros, A. L. B. S., &amp; David, J. P. (2006). </w:t>
      </w:r>
      <w:r w:rsidRPr="00B50684">
        <w:rPr>
          <w:noProof/>
          <w:szCs w:val="24"/>
          <w:lang w:val="en-US"/>
        </w:rPr>
        <w:t xml:space="preserve">Oxidative stress: relations between the formation of reactive species and the organism’s defense. </w:t>
      </w:r>
      <w:r w:rsidRPr="00B50684">
        <w:rPr>
          <w:i/>
          <w:iCs/>
          <w:noProof/>
          <w:szCs w:val="24"/>
          <w:lang w:val="en-US"/>
        </w:rPr>
        <w:t>Quim. Nova</w:t>
      </w:r>
      <w:r w:rsidRPr="00B50684">
        <w:rPr>
          <w:noProof/>
          <w:szCs w:val="24"/>
          <w:lang w:val="en-US"/>
        </w:rPr>
        <w:t xml:space="preserve">, </w:t>
      </w:r>
      <w:r w:rsidRPr="00B50684">
        <w:rPr>
          <w:i/>
          <w:iCs/>
          <w:noProof/>
          <w:szCs w:val="24"/>
          <w:lang w:val="en-US"/>
        </w:rPr>
        <w:t>29</w:t>
      </w:r>
      <w:r w:rsidRPr="00B50684">
        <w:rPr>
          <w:noProof/>
          <w:szCs w:val="24"/>
          <w:lang w:val="en-US"/>
        </w:rPr>
        <w:t>(1), 113–123.</w:t>
      </w:r>
    </w:p>
    <w:p w14:paraId="1BCC52C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Bors, W., Heller, W., Michel, C., &amp; Saran, M. (1990). Flavonoids as </w:t>
      </w:r>
      <w:r w:rsidRPr="00B50684">
        <w:rPr>
          <w:noProof/>
          <w:szCs w:val="24"/>
          <w:lang w:val="en-US"/>
        </w:rPr>
        <w:lastRenderedPageBreak/>
        <w:t xml:space="preserve">antioxidants: Determination of radical-scavenging efficiencies. </w:t>
      </w:r>
      <w:r w:rsidRPr="00B50684">
        <w:rPr>
          <w:i/>
          <w:iCs/>
          <w:noProof/>
          <w:szCs w:val="24"/>
          <w:lang w:val="en-US"/>
        </w:rPr>
        <w:t>Methods in Enzymology</w:t>
      </w:r>
      <w:r w:rsidRPr="00B50684">
        <w:rPr>
          <w:noProof/>
          <w:szCs w:val="24"/>
          <w:lang w:val="en-US"/>
        </w:rPr>
        <w:t xml:space="preserve">, </w:t>
      </w:r>
      <w:r w:rsidRPr="00B50684">
        <w:rPr>
          <w:i/>
          <w:iCs/>
          <w:noProof/>
          <w:szCs w:val="24"/>
          <w:lang w:val="en-US"/>
        </w:rPr>
        <w:t>186</w:t>
      </w:r>
      <w:r w:rsidRPr="00B50684">
        <w:rPr>
          <w:noProof/>
          <w:szCs w:val="24"/>
          <w:lang w:val="en-US"/>
        </w:rPr>
        <w:t>, 343–355. http://doi.org/10.1016/0076-6879(90)86128-I</w:t>
      </w:r>
    </w:p>
    <w:p w14:paraId="0891188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Bramlage, W. J. (1983). Measuring Fruit Firmness with a Penetrometer. </w:t>
      </w:r>
      <w:r w:rsidRPr="00B50684">
        <w:rPr>
          <w:i/>
          <w:iCs/>
          <w:noProof/>
          <w:szCs w:val="24"/>
          <w:lang w:val="en-US"/>
        </w:rPr>
        <w:t>Post Harvest Pomology Newsletter</w:t>
      </w:r>
      <w:r w:rsidRPr="00B50684">
        <w:rPr>
          <w:noProof/>
          <w:szCs w:val="24"/>
          <w:lang w:val="en-US"/>
        </w:rPr>
        <w:t xml:space="preserve">, </w:t>
      </w:r>
      <w:r w:rsidRPr="00B50684">
        <w:rPr>
          <w:i/>
          <w:iCs/>
          <w:noProof/>
          <w:szCs w:val="24"/>
          <w:lang w:val="en-US"/>
        </w:rPr>
        <w:t>1</w:t>
      </w:r>
      <w:r w:rsidRPr="00B50684">
        <w:rPr>
          <w:noProof/>
          <w:szCs w:val="24"/>
          <w:lang w:val="en-US"/>
        </w:rPr>
        <w:t>(3). http://doi.org/509-663-8181</w:t>
      </w:r>
    </w:p>
    <w:p w14:paraId="4165CFC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Brewer, M. S. (2011). Natural Antioxidants : Sources , Compounds , Mechanisms of Action , and Potential Applications. </w:t>
      </w:r>
      <w:r w:rsidRPr="00B50684">
        <w:rPr>
          <w:i/>
          <w:iCs/>
          <w:noProof/>
          <w:szCs w:val="24"/>
          <w:lang w:val="en-US"/>
        </w:rPr>
        <w:t>Food Science and Food Safety</w:t>
      </w:r>
      <w:r w:rsidRPr="00B50684">
        <w:rPr>
          <w:noProof/>
          <w:szCs w:val="24"/>
          <w:lang w:val="en-US"/>
        </w:rPr>
        <w:t xml:space="preserve">, </w:t>
      </w:r>
      <w:r w:rsidRPr="00B50684">
        <w:rPr>
          <w:i/>
          <w:iCs/>
          <w:noProof/>
          <w:szCs w:val="24"/>
          <w:lang w:val="en-US"/>
        </w:rPr>
        <w:t>10</w:t>
      </w:r>
      <w:r w:rsidRPr="00B50684">
        <w:rPr>
          <w:noProof/>
          <w:szCs w:val="24"/>
          <w:lang w:val="en-US"/>
        </w:rPr>
        <w:t>, 221–248. http://doi.org/10.1111/j.1541-4337.2011.00156.x</w:t>
      </w:r>
    </w:p>
    <w:p w14:paraId="79E0C0A2"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Brotto, D., Terci, L., &amp; Rossi, V. (2002). Natural pH indicators: using paper or solution? </w:t>
      </w:r>
      <w:r w:rsidRPr="00B50684">
        <w:rPr>
          <w:i/>
          <w:iCs/>
          <w:noProof/>
          <w:szCs w:val="24"/>
          <w:lang w:val="en-US"/>
        </w:rPr>
        <w:t>Quim. Nova</w:t>
      </w:r>
      <w:r w:rsidRPr="00B50684">
        <w:rPr>
          <w:noProof/>
          <w:szCs w:val="24"/>
          <w:lang w:val="en-US"/>
        </w:rPr>
        <w:t xml:space="preserve">, </w:t>
      </w:r>
      <w:r w:rsidRPr="00B50684">
        <w:rPr>
          <w:i/>
          <w:iCs/>
          <w:noProof/>
          <w:szCs w:val="24"/>
          <w:lang w:val="en-US"/>
        </w:rPr>
        <w:t>25</w:t>
      </w:r>
      <w:r w:rsidRPr="00B50684">
        <w:rPr>
          <w:noProof/>
          <w:szCs w:val="24"/>
          <w:lang w:val="en-US"/>
        </w:rPr>
        <w:t>(4), 684–688.</w:t>
      </w:r>
    </w:p>
    <w:p w14:paraId="3E4B01A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Chang, S.-C., Lee, M.-S., Lin, C.-J., &amp; Chen, M.-L. (1998). Dietary fiber content and composition of fruit Taiwan. </w:t>
      </w:r>
      <w:r w:rsidRPr="00B50684">
        <w:rPr>
          <w:i/>
          <w:iCs/>
          <w:noProof/>
          <w:szCs w:val="24"/>
          <w:lang w:val="en-US"/>
        </w:rPr>
        <w:t>Asia Pacific Journal Clinical Nutrition</w:t>
      </w:r>
      <w:r w:rsidRPr="00B50684">
        <w:rPr>
          <w:noProof/>
          <w:szCs w:val="24"/>
          <w:lang w:val="en-US"/>
        </w:rPr>
        <w:t xml:space="preserve">, </w:t>
      </w:r>
      <w:r w:rsidRPr="00B50684">
        <w:rPr>
          <w:i/>
          <w:iCs/>
          <w:noProof/>
          <w:szCs w:val="24"/>
          <w:lang w:val="en-US"/>
        </w:rPr>
        <w:t>7</w:t>
      </w:r>
      <w:r w:rsidRPr="00B50684">
        <w:rPr>
          <w:noProof/>
          <w:szCs w:val="24"/>
          <w:lang w:val="en-US"/>
        </w:rPr>
        <w:t>(3/4), 206–210.</w:t>
      </w:r>
    </w:p>
    <w:p w14:paraId="5E8B7F25"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Chougui, N., Sahi, Y., &amp; Belkacemi, M. (2013). Comparative study between the different compartments of Opuntia ficus-indica L. </w:t>
      </w:r>
      <w:r w:rsidRPr="00B50684">
        <w:rPr>
          <w:i/>
          <w:iCs/>
          <w:noProof/>
          <w:szCs w:val="24"/>
          <w:lang w:val="en-US"/>
        </w:rPr>
        <w:t>Insidefood.Eu</w:t>
      </w:r>
      <w:r w:rsidRPr="00B50684">
        <w:rPr>
          <w:noProof/>
          <w:szCs w:val="24"/>
          <w:lang w:val="en-US"/>
        </w:rPr>
        <w:t>, 9–12. Retrieved from http://www.insidefood.eu/INSIDEFOOD_WEB/UK/WORD/proceedings/200P.pdf</w:t>
      </w:r>
    </w:p>
    <w:p w14:paraId="2899849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Chung, K.-T., Wong, T. Y., Wei, C.-I., &amp; Huang, Y.-W. (1998). Tannins and Human Health: A Review. </w:t>
      </w:r>
      <w:r w:rsidRPr="00B50684">
        <w:rPr>
          <w:i/>
          <w:iCs/>
          <w:noProof/>
          <w:szCs w:val="24"/>
          <w:lang w:val="en-US"/>
        </w:rPr>
        <w:t>Critical Reviews in Food Science and Nutrition</w:t>
      </w:r>
      <w:r w:rsidRPr="00B50684">
        <w:rPr>
          <w:noProof/>
          <w:szCs w:val="24"/>
          <w:lang w:val="en-US"/>
        </w:rPr>
        <w:t xml:space="preserve">, </w:t>
      </w:r>
      <w:r w:rsidRPr="00B50684">
        <w:rPr>
          <w:i/>
          <w:iCs/>
          <w:noProof/>
          <w:szCs w:val="24"/>
          <w:lang w:val="en-US"/>
        </w:rPr>
        <w:t>38</w:t>
      </w:r>
      <w:r w:rsidRPr="00B50684">
        <w:rPr>
          <w:noProof/>
          <w:szCs w:val="24"/>
          <w:lang w:val="en-US"/>
        </w:rPr>
        <w:t>(6), 241–464. http://doi.org/http://dx.doi.org/10.1080/10408699891274273</w:t>
      </w:r>
    </w:p>
    <w:p w14:paraId="24812A2B"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Čipak, A., Lovakovic, T., &amp; Žarković, N. (2010). Oxidative Stress and Antioxidants : Biological Response Modifiers of Oxidative Homeostasis in Cancer. </w:t>
      </w:r>
      <w:r w:rsidRPr="00D413A1">
        <w:rPr>
          <w:i/>
          <w:iCs/>
          <w:noProof/>
          <w:szCs w:val="24"/>
        </w:rPr>
        <w:t>PERIODICUM BIOLOGORUM</w:t>
      </w:r>
      <w:r w:rsidRPr="00D413A1">
        <w:rPr>
          <w:noProof/>
          <w:szCs w:val="24"/>
        </w:rPr>
        <w:t xml:space="preserve">, </w:t>
      </w:r>
      <w:r w:rsidRPr="00D413A1">
        <w:rPr>
          <w:i/>
          <w:iCs/>
          <w:noProof/>
          <w:szCs w:val="24"/>
        </w:rPr>
        <w:t>112</w:t>
      </w:r>
      <w:r w:rsidRPr="00D413A1">
        <w:rPr>
          <w:noProof/>
          <w:szCs w:val="24"/>
        </w:rPr>
        <w:t>(4), 433–439.</w:t>
      </w:r>
    </w:p>
    <w:p w14:paraId="0A3B70C4"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Clara, A. (2015). Figo-da-índia ganha terreno no país e exportação pode chegar em 2016. </w:t>
      </w:r>
      <w:r w:rsidRPr="00B50684">
        <w:rPr>
          <w:noProof/>
          <w:szCs w:val="24"/>
          <w:lang w:val="en-US"/>
        </w:rPr>
        <w:t>Retrieved August 2, 2016, from http://www.agronegocios.eu/noticias/figo-da-india-ganha-terreno-no-pais-e-exportacao-pode-chegar-em-2016/</w:t>
      </w:r>
    </w:p>
    <w:p w14:paraId="2561CB1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Cohen, M. F., Sakihama, Y., &amp; Yamasaki, H. (2001). Roles of plant flavonoids in interactions with microtubes: from protection against pathogens to the mediation of mutualism. </w:t>
      </w:r>
      <w:r w:rsidRPr="00B50684">
        <w:rPr>
          <w:i/>
          <w:iCs/>
          <w:noProof/>
          <w:szCs w:val="24"/>
          <w:lang w:val="en-US"/>
        </w:rPr>
        <w:t>Research Development Plant Physiology</w:t>
      </w:r>
      <w:r w:rsidRPr="00B50684">
        <w:rPr>
          <w:noProof/>
          <w:szCs w:val="24"/>
          <w:lang w:val="en-US"/>
        </w:rPr>
        <w:t xml:space="preserve">, </w:t>
      </w:r>
      <w:r w:rsidRPr="00B50684">
        <w:rPr>
          <w:i/>
          <w:iCs/>
          <w:noProof/>
          <w:szCs w:val="24"/>
          <w:lang w:val="en-US"/>
        </w:rPr>
        <w:t>2</w:t>
      </w:r>
      <w:r w:rsidRPr="00B50684">
        <w:rPr>
          <w:noProof/>
          <w:szCs w:val="24"/>
          <w:lang w:val="en-US"/>
        </w:rPr>
        <w:t>, 157–173.</w:t>
      </w:r>
    </w:p>
    <w:p w14:paraId="33B8506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lastRenderedPageBreak/>
        <w:t xml:space="preserve">Cook, N. C., &amp; Samman, S. (1996). Flavonoids—Chemistry, metabolism, cardioprotective effects, and dietary sources. </w:t>
      </w:r>
      <w:r w:rsidRPr="00B50684">
        <w:rPr>
          <w:i/>
          <w:iCs/>
          <w:noProof/>
          <w:szCs w:val="24"/>
          <w:lang w:val="en-US"/>
        </w:rPr>
        <w:t>The Journal of Nutritional Biochemistry</w:t>
      </w:r>
      <w:r w:rsidRPr="00B50684">
        <w:rPr>
          <w:noProof/>
          <w:szCs w:val="24"/>
          <w:lang w:val="en-US"/>
        </w:rPr>
        <w:t xml:space="preserve">, </w:t>
      </w:r>
      <w:r w:rsidRPr="00B50684">
        <w:rPr>
          <w:i/>
          <w:iCs/>
          <w:noProof/>
          <w:szCs w:val="24"/>
          <w:lang w:val="en-US"/>
        </w:rPr>
        <w:t>7</w:t>
      </w:r>
      <w:r w:rsidRPr="00B50684">
        <w:rPr>
          <w:noProof/>
          <w:szCs w:val="24"/>
          <w:lang w:val="en-US"/>
        </w:rPr>
        <w:t>(2), 66–76. http://doi.org/10.1016/S0955-2863(95)00168-9</w:t>
      </w:r>
    </w:p>
    <w:p w14:paraId="40F1313F"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Costa, A. F. (2000). </w:t>
      </w:r>
      <w:r w:rsidRPr="00D413A1">
        <w:rPr>
          <w:i/>
          <w:iCs/>
          <w:noProof/>
          <w:szCs w:val="24"/>
        </w:rPr>
        <w:t>Farmacognosia</w:t>
      </w:r>
      <w:r w:rsidRPr="00D413A1">
        <w:rPr>
          <w:noProof/>
          <w:szCs w:val="24"/>
        </w:rPr>
        <w:t>. (A. P. Cunha, Ed.) (3</w:t>
      </w:r>
      <w:r w:rsidRPr="00D413A1">
        <w:rPr>
          <w:noProof/>
          <w:szCs w:val="24"/>
          <w:vertAlign w:val="superscript"/>
        </w:rPr>
        <w:t>o</w:t>
      </w:r>
      <w:r w:rsidRPr="00D413A1">
        <w:rPr>
          <w:noProof/>
          <w:szCs w:val="24"/>
        </w:rPr>
        <w:t>). Coimbra: Fundação calouste gulbenkian.</w:t>
      </w:r>
    </w:p>
    <w:p w14:paraId="7FFB0FB4"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Coutinho, Marcela A. S.; Muzitano, Michele F.; Costa, S. S. (2009). Flavonoids: Potential therapeutic agents for the inflammatory process. </w:t>
      </w:r>
      <w:r w:rsidRPr="00D413A1">
        <w:rPr>
          <w:i/>
          <w:iCs/>
          <w:noProof/>
          <w:szCs w:val="24"/>
        </w:rPr>
        <w:t>Revista Virtual de Química</w:t>
      </w:r>
      <w:r w:rsidRPr="00D413A1">
        <w:rPr>
          <w:noProof/>
          <w:szCs w:val="24"/>
        </w:rPr>
        <w:t xml:space="preserve">, </w:t>
      </w:r>
      <w:r w:rsidRPr="00D413A1">
        <w:rPr>
          <w:i/>
          <w:iCs/>
          <w:noProof/>
          <w:szCs w:val="24"/>
        </w:rPr>
        <w:t>1</w:t>
      </w:r>
      <w:r w:rsidRPr="00D413A1">
        <w:rPr>
          <w:noProof/>
          <w:szCs w:val="24"/>
        </w:rPr>
        <w:t>(3), 241–256. http://doi.org/10.5935/1984-6835.20090024</w:t>
      </w:r>
    </w:p>
    <w:p w14:paraId="5D967A14"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Crespo, P., Bordonaba, J. G., Terry, L. A., &amp; Carlen, C. (2010). </w:t>
      </w:r>
      <w:r w:rsidRPr="00B50684">
        <w:rPr>
          <w:noProof/>
          <w:szCs w:val="24"/>
          <w:lang w:val="en-US"/>
        </w:rPr>
        <w:t xml:space="preserve">Characterisation of Major Taste and Health-Related Compounds of Four Strawberry Genotypes Grown at Different Swiss Production Sites. </w:t>
      </w:r>
      <w:r w:rsidRPr="00D413A1">
        <w:rPr>
          <w:i/>
          <w:iCs/>
          <w:noProof/>
          <w:szCs w:val="24"/>
        </w:rPr>
        <w:t>Food Chem</w:t>
      </w:r>
      <w:r w:rsidRPr="00D413A1">
        <w:rPr>
          <w:noProof/>
          <w:szCs w:val="24"/>
        </w:rPr>
        <w:t xml:space="preserve">, </w:t>
      </w:r>
      <w:r w:rsidRPr="00D413A1">
        <w:rPr>
          <w:i/>
          <w:iCs/>
          <w:noProof/>
          <w:szCs w:val="24"/>
        </w:rPr>
        <w:t>122</w:t>
      </w:r>
      <w:r w:rsidRPr="00D413A1">
        <w:rPr>
          <w:noProof/>
          <w:szCs w:val="24"/>
        </w:rPr>
        <w:t>, 16–24.</w:t>
      </w:r>
    </w:p>
    <w:p w14:paraId="70D63DAF"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Cruz-Cansino, N. D. S., Ramírez-Moreno, E., Leín-Rivera, J. E., Delgado-Olivares, L., Alanís-García, E., Ariza-Ortega, J. A., … </w:t>
      </w:r>
      <w:r w:rsidRPr="00B50684">
        <w:rPr>
          <w:noProof/>
          <w:szCs w:val="24"/>
          <w:lang w:val="en-US"/>
        </w:rPr>
        <w:t xml:space="preserve">Jaramillo-Bustos, D. P. (2015). Shelf life, physicochemical, microbiological and antioxidant properties of purple cactus pear (Opuntia ficus indica) juice after thermoultrasound treatment. </w:t>
      </w:r>
      <w:r w:rsidRPr="00D413A1">
        <w:rPr>
          <w:i/>
          <w:iCs/>
          <w:noProof/>
          <w:szCs w:val="24"/>
        </w:rPr>
        <w:t>Ultrasonics Sonochemistry</w:t>
      </w:r>
      <w:r w:rsidRPr="00D413A1">
        <w:rPr>
          <w:noProof/>
          <w:szCs w:val="24"/>
        </w:rPr>
        <w:t xml:space="preserve">, </w:t>
      </w:r>
      <w:r w:rsidRPr="00D413A1">
        <w:rPr>
          <w:i/>
          <w:iCs/>
          <w:noProof/>
          <w:szCs w:val="24"/>
        </w:rPr>
        <w:t>7</w:t>
      </w:r>
      <w:r w:rsidRPr="00D413A1">
        <w:rPr>
          <w:noProof/>
          <w:szCs w:val="24"/>
        </w:rPr>
        <w:t>, 277–286. http://doi.org/dx.doi.org/10.1016/j.ultsonch.2015.05.040</w:t>
      </w:r>
    </w:p>
    <w:p w14:paraId="66095C68"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Davy, H. (2009). Os antioxidantes. </w:t>
      </w:r>
      <w:r w:rsidRPr="00B50684">
        <w:rPr>
          <w:i/>
          <w:iCs/>
          <w:noProof/>
          <w:szCs w:val="24"/>
          <w:lang w:val="en-US"/>
        </w:rPr>
        <w:t>Food Ingredients Brasil</w:t>
      </w:r>
      <w:r w:rsidRPr="00B50684">
        <w:rPr>
          <w:noProof/>
          <w:szCs w:val="24"/>
          <w:lang w:val="en-US"/>
        </w:rPr>
        <w:t xml:space="preserve">, </w:t>
      </w:r>
      <w:r w:rsidRPr="00B50684">
        <w:rPr>
          <w:i/>
          <w:iCs/>
          <w:noProof/>
          <w:szCs w:val="24"/>
          <w:lang w:val="en-US"/>
        </w:rPr>
        <w:t>6</w:t>
      </w:r>
      <w:r w:rsidRPr="00B50684">
        <w:rPr>
          <w:noProof/>
          <w:szCs w:val="24"/>
          <w:lang w:val="en-US"/>
        </w:rPr>
        <w:t>, 16–31.</w:t>
      </w:r>
    </w:p>
    <w:p w14:paraId="102AE91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DeEll, J. R., Khanizadeh, S., Saad, F., &amp; Ferree, D. C. (2001). Factors affecting apple fruit firmness-a review. </w:t>
      </w:r>
      <w:r w:rsidRPr="00B50684">
        <w:rPr>
          <w:i/>
          <w:iCs/>
          <w:noProof/>
          <w:szCs w:val="24"/>
          <w:lang w:val="en-US"/>
        </w:rPr>
        <w:t>Journal-American Pomological Society,</w:t>
      </w:r>
      <w:r w:rsidRPr="00B50684">
        <w:rPr>
          <w:noProof/>
          <w:szCs w:val="24"/>
          <w:lang w:val="en-US"/>
        </w:rPr>
        <w:t xml:space="preserve"> </w:t>
      </w:r>
      <w:r w:rsidRPr="00B50684">
        <w:rPr>
          <w:i/>
          <w:iCs/>
          <w:noProof/>
          <w:szCs w:val="24"/>
          <w:lang w:val="en-US"/>
        </w:rPr>
        <w:t>55,</w:t>
      </w:r>
      <w:r w:rsidRPr="00B50684">
        <w:rPr>
          <w:noProof/>
          <w:szCs w:val="24"/>
          <w:lang w:val="en-US"/>
        </w:rPr>
        <w:t>(August), 8–26.</w:t>
      </w:r>
    </w:p>
    <w:p w14:paraId="593D9D2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DeFelice, M. (2004). Prickly Pear Cactus, Opuntia spp.—A Spine-Tingling Tale. </w:t>
      </w:r>
      <w:r w:rsidRPr="00B50684">
        <w:rPr>
          <w:i/>
          <w:iCs/>
          <w:noProof/>
          <w:szCs w:val="24"/>
          <w:lang w:val="en-US"/>
        </w:rPr>
        <w:t>Weed Technology</w:t>
      </w:r>
      <w:r w:rsidRPr="00B50684">
        <w:rPr>
          <w:noProof/>
          <w:szCs w:val="24"/>
          <w:lang w:val="en-US"/>
        </w:rPr>
        <w:t xml:space="preserve">, </w:t>
      </w:r>
      <w:r w:rsidRPr="00B50684">
        <w:rPr>
          <w:i/>
          <w:iCs/>
          <w:noProof/>
          <w:szCs w:val="24"/>
          <w:lang w:val="en-US"/>
        </w:rPr>
        <w:t>18</w:t>
      </w:r>
      <w:r w:rsidRPr="00B50684">
        <w:rPr>
          <w:noProof/>
          <w:szCs w:val="24"/>
          <w:lang w:val="en-US"/>
        </w:rPr>
        <w:t>(3), 869–877. http://doi.org/http://dx.doi.org/10.1614/WT-04-134</w:t>
      </w:r>
    </w:p>
    <w:p w14:paraId="2BC2D40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DeVries, J. W. (2001). The definition of dietary fibre. </w:t>
      </w:r>
      <w:r w:rsidRPr="00B50684">
        <w:rPr>
          <w:i/>
          <w:iCs/>
          <w:noProof/>
          <w:szCs w:val="24"/>
          <w:lang w:val="en-US"/>
        </w:rPr>
        <w:t>Cereal Foods World</w:t>
      </w:r>
      <w:r w:rsidRPr="00B50684">
        <w:rPr>
          <w:noProof/>
          <w:szCs w:val="24"/>
          <w:lang w:val="en-US"/>
        </w:rPr>
        <w:t xml:space="preserve">, </w:t>
      </w:r>
      <w:r w:rsidRPr="00B50684">
        <w:rPr>
          <w:i/>
          <w:iCs/>
          <w:noProof/>
          <w:szCs w:val="24"/>
          <w:lang w:val="en-US"/>
        </w:rPr>
        <w:t>46</w:t>
      </w:r>
      <w:r w:rsidRPr="00B50684">
        <w:rPr>
          <w:noProof/>
          <w:szCs w:val="24"/>
          <w:lang w:val="en-US"/>
        </w:rPr>
        <w:t>(3), 112–129.</w:t>
      </w:r>
    </w:p>
    <w:p w14:paraId="6C4D2234" w14:textId="38BCB38F"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Dias, C. (2011). </w:t>
      </w:r>
      <w:r w:rsidRPr="00D413A1">
        <w:rPr>
          <w:i/>
          <w:iCs/>
          <w:noProof/>
          <w:szCs w:val="24"/>
        </w:rPr>
        <w:t>Avaliação de taninos condensados , antocianinas e precursores de aroma ao longo da maturação em castas tintas : efeito da altitude da vinha</w:t>
      </w:r>
      <w:r w:rsidRPr="00D413A1">
        <w:rPr>
          <w:noProof/>
          <w:szCs w:val="24"/>
        </w:rPr>
        <w:t>. Universidade técnica de Lisboa. Retrieved from https://www.repository.utl.pt/bitstream/10400.5/4072/1/Disserta</w:t>
      </w:r>
      <w:r>
        <w:rPr>
          <w:noProof/>
          <w:szCs w:val="24"/>
        </w:rPr>
        <w:t>çã</w:t>
      </w:r>
      <w:r w:rsidRPr="00D413A1">
        <w:rPr>
          <w:noProof/>
          <w:szCs w:val="24"/>
        </w:rPr>
        <w:t>o FINAL - Catarina Dias.pdf</w:t>
      </w:r>
    </w:p>
    <w:p w14:paraId="662602E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lastRenderedPageBreak/>
        <w:t xml:space="preserve">Duru, B., &amp; Turker, N. (2005). Changes in Physical Properties and Chemical Composition of Cactus Pear (Opuntia ficus-indica) During Maturation. </w:t>
      </w:r>
      <w:r w:rsidRPr="00B50684">
        <w:rPr>
          <w:i/>
          <w:iCs/>
          <w:noProof/>
          <w:szCs w:val="24"/>
          <w:lang w:val="en-US"/>
        </w:rPr>
        <w:t>Journal of the Professional Association for Cactus Development</w:t>
      </w:r>
      <w:r w:rsidRPr="00B50684">
        <w:rPr>
          <w:noProof/>
          <w:szCs w:val="24"/>
          <w:lang w:val="en-US"/>
        </w:rPr>
        <w:t xml:space="preserve">, </w:t>
      </w:r>
      <w:r w:rsidRPr="00B50684">
        <w:rPr>
          <w:i/>
          <w:iCs/>
          <w:noProof/>
          <w:szCs w:val="24"/>
          <w:lang w:val="en-US"/>
        </w:rPr>
        <w:t>7</w:t>
      </w:r>
      <w:r w:rsidRPr="00B50684">
        <w:rPr>
          <w:noProof/>
          <w:szCs w:val="24"/>
          <w:lang w:val="en-US"/>
        </w:rPr>
        <w:t>, 22–33.</w:t>
      </w:r>
    </w:p>
    <w:p w14:paraId="5B4B1670"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El-Mostafa, K., El Kharrassi, Y., Badreddine, A., Andreoletti, P., Vamecq, J., El Kebbaj, M. S., … Cherkaoui-Malki, M. (2014). Nopal cactus (Opuntia ficus-indica) as a source of bioactive compounds for nutrition, health and disease. </w:t>
      </w:r>
      <w:r w:rsidRPr="00B50684">
        <w:rPr>
          <w:i/>
          <w:iCs/>
          <w:noProof/>
          <w:szCs w:val="24"/>
          <w:lang w:val="en-US"/>
        </w:rPr>
        <w:t>Molecules</w:t>
      </w:r>
      <w:r w:rsidRPr="00B50684">
        <w:rPr>
          <w:noProof/>
          <w:szCs w:val="24"/>
          <w:lang w:val="en-US"/>
        </w:rPr>
        <w:t xml:space="preserve">, </w:t>
      </w:r>
      <w:r w:rsidRPr="00B50684">
        <w:rPr>
          <w:i/>
          <w:iCs/>
          <w:noProof/>
          <w:szCs w:val="24"/>
          <w:lang w:val="en-US"/>
        </w:rPr>
        <w:t>19</w:t>
      </w:r>
      <w:r w:rsidRPr="00B50684">
        <w:rPr>
          <w:noProof/>
          <w:szCs w:val="24"/>
          <w:lang w:val="en-US"/>
        </w:rPr>
        <w:t>(9), 14879–14901. http://doi.org/10.3390/molecules190914879</w:t>
      </w:r>
    </w:p>
    <w:p w14:paraId="6AA8A672"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Engenharia biológica. (2013). Retrieved August 8, 2016, from http://www.ualg.pt/pt/curso/1458</w:t>
      </w:r>
    </w:p>
    <w:p w14:paraId="6306427F"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Feitosa, F. F., Stull, J. W., Brown, W. H., &amp; Whiting, F. M. (1984). Amino and organic acid of the prickly pear cactus (Opuntia ficus indica L.). </w:t>
      </w:r>
      <w:r w:rsidRPr="00B50684">
        <w:rPr>
          <w:i/>
          <w:iCs/>
          <w:noProof/>
          <w:szCs w:val="24"/>
          <w:lang w:val="en-US"/>
        </w:rPr>
        <w:t>Journal of Science Food and Agriculture</w:t>
      </w:r>
      <w:r w:rsidRPr="00B50684">
        <w:rPr>
          <w:noProof/>
          <w:szCs w:val="24"/>
          <w:lang w:val="en-US"/>
        </w:rPr>
        <w:t xml:space="preserve">, </w:t>
      </w:r>
      <w:r w:rsidRPr="00B50684">
        <w:rPr>
          <w:i/>
          <w:iCs/>
          <w:noProof/>
          <w:szCs w:val="24"/>
          <w:lang w:val="en-US"/>
        </w:rPr>
        <w:t>35</w:t>
      </w:r>
      <w:r w:rsidRPr="00B50684">
        <w:rPr>
          <w:noProof/>
          <w:szCs w:val="24"/>
          <w:lang w:val="en-US"/>
        </w:rPr>
        <w:t>(4), 421–425.</w:t>
      </w:r>
    </w:p>
    <w:p w14:paraId="0231EF3D"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Ferreira, I. C., &amp; Abreu, R. M. (2007). </w:t>
      </w:r>
      <w:r w:rsidRPr="00D413A1">
        <w:rPr>
          <w:noProof/>
          <w:szCs w:val="24"/>
        </w:rPr>
        <w:t xml:space="preserve">Stress Oxidativo, Antioxidantes e Fitoquímicos. </w:t>
      </w:r>
      <w:r w:rsidRPr="00D413A1">
        <w:rPr>
          <w:i/>
          <w:iCs/>
          <w:noProof/>
          <w:szCs w:val="24"/>
        </w:rPr>
        <w:t>Bioanálise</w:t>
      </w:r>
      <w:r w:rsidRPr="00D413A1">
        <w:rPr>
          <w:noProof/>
          <w:szCs w:val="24"/>
        </w:rPr>
        <w:t xml:space="preserve">, </w:t>
      </w:r>
      <w:r w:rsidRPr="00D413A1">
        <w:rPr>
          <w:i/>
          <w:iCs/>
          <w:noProof/>
          <w:szCs w:val="24"/>
        </w:rPr>
        <w:t>2</w:t>
      </w:r>
      <w:r w:rsidRPr="00D413A1">
        <w:rPr>
          <w:noProof/>
          <w:szCs w:val="24"/>
        </w:rPr>
        <w:t>, 32–39.</w:t>
      </w:r>
    </w:p>
    <w:p w14:paraId="50B3964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Ferreira, V. L. P., Neto, R. O. T., Moura, S. C. S. R. de, &amp; Silva, M. S. (1999). Cinética da degradação da cor de solução hidrossolúvel comercial de urucum, submetida a tratamentos térmicos. </w:t>
      </w:r>
      <w:r w:rsidRPr="00B50684">
        <w:rPr>
          <w:i/>
          <w:iCs/>
          <w:noProof/>
          <w:szCs w:val="24"/>
          <w:lang w:val="en-US"/>
        </w:rPr>
        <w:t>Food Science and Technology</w:t>
      </w:r>
      <w:r w:rsidRPr="00B50684">
        <w:rPr>
          <w:noProof/>
          <w:szCs w:val="24"/>
          <w:lang w:val="en-US"/>
        </w:rPr>
        <w:t xml:space="preserve">, </w:t>
      </w:r>
      <w:r w:rsidRPr="00B50684">
        <w:rPr>
          <w:i/>
          <w:iCs/>
          <w:noProof/>
          <w:szCs w:val="24"/>
          <w:lang w:val="en-US"/>
        </w:rPr>
        <w:t>19</w:t>
      </w:r>
      <w:r w:rsidRPr="00B50684">
        <w:rPr>
          <w:noProof/>
          <w:szCs w:val="24"/>
          <w:lang w:val="en-US"/>
        </w:rPr>
        <w:t>(1), 37–42. http://doi.org/10.1590/S0101-20611999000100010</w:t>
      </w:r>
    </w:p>
    <w:p w14:paraId="14982412"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Griffith, P. M. (2004). The origins of an important cactus crop, opuntia ficus-indica (Cactaceae): New molecular evidence. </w:t>
      </w:r>
      <w:r w:rsidRPr="00D413A1">
        <w:rPr>
          <w:i/>
          <w:iCs/>
          <w:noProof/>
          <w:szCs w:val="24"/>
        </w:rPr>
        <w:t>American Journal of Botany</w:t>
      </w:r>
      <w:r w:rsidRPr="00D413A1">
        <w:rPr>
          <w:noProof/>
          <w:szCs w:val="24"/>
        </w:rPr>
        <w:t xml:space="preserve">, </w:t>
      </w:r>
      <w:r w:rsidRPr="00D413A1">
        <w:rPr>
          <w:i/>
          <w:iCs/>
          <w:noProof/>
          <w:szCs w:val="24"/>
        </w:rPr>
        <w:t>91</w:t>
      </w:r>
      <w:r w:rsidRPr="00D413A1">
        <w:rPr>
          <w:noProof/>
          <w:szCs w:val="24"/>
        </w:rPr>
        <w:t>(11), 1915–1921.</w:t>
      </w:r>
    </w:p>
    <w:p w14:paraId="2BAC729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Guerreiro, A. C. (2012). </w:t>
      </w:r>
      <w:r w:rsidRPr="00D413A1">
        <w:rPr>
          <w:i/>
          <w:iCs/>
          <w:noProof/>
          <w:szCs w:val="24"/>
        </w:rPr>
        <w:t>Conservação do medronho em fresco e em geleia Conservação do medronho em fresco e em geleia</w:t>
      </w:r>
      <w:r w:rsidRPr="00D413A1">
        <w:rPr>
          <w:noProof/>
          <w:szCs w:val="24"/>
        </w:rPr>
        <w:t xml:space="preserve">. </w:t>
      </w:r>
      <w:r w:rsidRPr="00B50684">
        <w:rPr>
          <w:noProof/>
          <w:szCs w:val="24"/>
          <w:lang w:val="en-US"/>
        </w:rPr>
        <w:t>Universidade do Algarve.</w:t>
      </w:r>
    </w:p>
    <w:p w14:paraId="11B529EE"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Hagerman, A. E., &amp; Butler, L. G. (1978). Protein precipitation method for quantitative determination of tannins. </w:t>
      </w:r>
      <w:r w:rsidRPr="00B50684">
        <w:rPr>
          <w:i/>
          <w:iCs/>
          <w:noProof/>
          <w:szCs w:val="24"/>
          <w:lang w:val="en-US"/>
        </w:rPr>
        <w:t>Journal of Agricultural and Food Chemistry</w:t>
      </w:r>
      <w:r w:rsidRPr="00B50684">
        <w:rPr>
          <w:noProof/>
          <w:szCs w:val="24"/>
          <w:lang w:val="en-US"/>
        </w:rPr>
        <w:t xml:space="preserve">, </w:t>
      </w:r>
      <w:r w:rsidRPr="00B50684">
        <w:rPr>
          <w:i/>
          <w:iCs/>
          <w:noProof/>
          <w:szCs w:val="24"/>
          <w:lang w:val="en-US"/>
        </w:rPr>
        <w:t>26</w:t>
      </w:r>
      <w:r w:rsidRPr="00B50684">
        <w:rPr>
          <w:noProof/>
          <w:szCs w:val="24"/>
          <w:lang w:val="en-US"/>
        </w:rPr>
        <w:t>(4), 809–812.</w:t>
      </w:r>
    </w:p>
    <w:p w14:paraId="6E165AD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Halliwell, B. (2006). Reactive Species and Antioxidants . Redox Biology Is a Fundamental Theme of Aerobic Life. </w:t>
      </w:r>
      <w:r w:rsidRPr="00B50684">
        <w:rPr>
          <w:i/>
          <w:iCs/>
          <w:noProof/>
          <w:szCs w:val="24"/>
          <w:lang w:val="en-US"/>
        </w:rPr>
        <w:t>Plant Physiology</w:t>
      </w:r>
      <w:r w:rsidRPr="00B50684">
        <w:rPr>
          <w:noProof/>
          <w:szCs w:val="24"/>
          <w:lang w:val="en-US"/>
        </w:rPr>
        <w:t xml:space="preserve">, </w:t>
      </w:r>
      <w:r w:rsidRPr="00B50684">
        <w:rPr>
          <w:i/>
          <w:iCs/>
          <w:noProof/>
          <w:szCs w:val="24"/>
          <w:lang w:val="en-US"/>
        </w:rPr>
        <w:t>141</w:t>
      </w:r>
      <w:r w:rsidRPr="00B50684">
        <w:rPr>
          <w:noProof/>
          <w:szCs w:val="24"/>
          <w:lang w:val="en-US"/>
        </w:rPr>
        <w:t>(2), 312–322. http://doi.org/10.1104/pp.106.077073.312</w:t>
      </w:r>
    </w:p>
    <w:p w14:paraId="6AA7B99A"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Harder, M. N. C., Canniatti-brazaca, S. G., &amp; Arthur, V. (2007). </w:t>
      </w:r>
      <w:r w:rsidRPr="00D413A1">
        <w:rPr>
          <w:noProof/>
          <w:szCs w:val="24"/>
        </w:rPr>
        <w:t xml:space="preserve">Avaliação quantitativa por colorímetro digital da cor do ovo de galinhas poedeiras </w:t>
      </w:r>
      <w:r w:rsidRPr="00D413A1">
        <w:rPr>
          <w:noProof/>
          <w:szCs w:val="24"/>
        </w:rPr>
        <w:lastRenderedPageBreak/>
        <w:t xml:space="preserve">alimentadas com urucum ( Bixa orellana ). </w:t>
      </w:r>
      <w:r w:rsidRPr="00D413A1">
        <w:rPr>
          <w:i/>
          <w:iCs/>
          <w:noProof/>
          <w:szCs w:val="24"/>
        </w:rPr>
        <w:t>Revista Portuguesa de Ciencias Veterinárias</w:t>
      </w:r>
      <w:r w:rsidRPr="00D413A1">
        <w:rPr>
          <w:noProof/>
          <w:szCs w:val="24"/>
        </w:rPr>
        <w:t xml:space="preserve">, </w:t>
      </w:r>
      <w:r w:rsidRPr="00D413A1">
        <w:rPr>
          <w:i/>
          <w:iCs/>
          <w:noProof/>
          <w:szCs w:val="24"/>
        </w:rPr>
        <w:t>102</w:t>
      </w:r>
      <w:r w:rsidRPr="00D413A1">
        <w:rPr>
          <w:noProof/>
          <w:szCs w:val="24"/>
        </w:rPr>
        <w:t>(2007), 339–342.</w:t>
      </w:r>
    </w:p>
    <w:p w14:paraId="3F883E82"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Harker, F. R., Maindonald, J. H., &amp; Jackson, P. J. (1996). </w:t>
      </w:r>
      <w:r w:rsidRPr="00B50684">
        <w:rPr>
          <w:noProof/>
          <w:szCs w:val="24"/>
          <w:lang w:val="en-US"/>
        </w:rPr>
        <w:t xml:space="preserve">Penetrometer Measurement of Apple and Kiwifruit Firmness: Operator and Instrument Differences. </w:t>
      </w:r>
      <w:r w:rsidRPr="00B50684">
        <w:rPr>
          <w:i/>
          <w:iCs/>
          <w:noProof/>
          <w:szCs w:val="24"/>
          <w:lang w:val="en-US"/>
        </w:rPr>
        <w:t>Journal of the American Society for Horticultural Science</w:t>
      </w:r>
      <w:r w:rsidRPr="00B50684">
        <w:rPr>
          <w:noProof/>
          <w:szCs w:val="24"/>
          <w:lang w:val="en-US"/>
        </w:rPr>
        <w:t xml:space="preserve">, </w:t>
      </w:r>
      <w:r w:rsidRPr="00B50684">
        <w:rPr>
          <w:i/>
          <w:iCs/>
          <w:noProof/>
          <w:szCs w:val="24"/>
          <w:lang w:val="en-US"/>
        </w:rPr>
        <w:t>121</w:t>
      </w:r>
      <w:r w:rsidRPr="00B50684">
        <w:rPr>
          <w:noProof/>
          <w:szCs w:val="24"/>
          <w:lang w:val="en-US"/>
        </w:rPr>
        <w:t>(5), 927–936. Retrieved from http://journal.ashspublications.org/content/121/5/927.abstract</w:t>
      </w:r>
    </w:p>
    <w:p w14:paraId="68D2DAD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Heima, K. E., Tagliaferro, A. R., &amp; Bobilyaa, D. J. (2002). </w:t>
      </w:r>
      <w:r w:rsidRPr="00B50684">
        <w:rPr>
          <w:noProof/>
          <w:szCs w:val="24"/>
          <w:lang w:val="en-US"/>
        </w:rPr>
        <w:t xml:space="preserve">Flavonoid antioxidants: chemistry, metabolism and structure-activity relationships. </w:t>
      </w:r>
      <w:r w:rsidRPr="00B50684">
        <w:rPr>
          <w:i/>
          <w:iCs/>
          <w:noProof/>
          <w:szCs w:val="24"/>
          <w:lang w:val="en-US"/>
        </w:rPr>
        <w:t>The Journal of Nutritional Biochemistry</w:t>
      </w:r>
      <w:r w:rsidRPr="00B50684">
        <w:rPr>
          <w:noProof/>
          <w:szCs w:val="24"/>
          <w:lang w:val="en-US"/>
        </w:rPr>
        <w:t xml:space="preserve">, </w:t>
      </w:r>
      <w:r w:rsidRPr="00B50684">
        <w:rPr>
          <w:i/>
          <w:iCs/>
          <w:noProof/>
          <w:szCs w:val="24"/>
          <w:lang w:val="en-US"/>
        </w:rPr>
        <w:t>13</w:t>
      </w:r>
      <w:r w:rsidRPr="00B50684">
        <w:rPr>
          <w:noProof/>
          <w:szCs w:val="24"/>
          <w:lang w:val="en-US"/>
        </w:rPr>
        <w:t>(10), 572–584. http://doi.org/0.1016/S0955-2863(02)00208-5</w:t>
      </w:r>
    </w:p>
    <w:p w14:paraId="7C224D3B"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Hernandez-Pérez, T., Carrillo-López, A., Guevara-lara, F., Cruz-Hernández, A., &amp; Paredes-López, O. (2005). Biochemical and Nutritional Characterization of Three Prickly Pear Species with Different Ripening Behavior. </w:t>
      </w:r>
      <w:r w:rsidRPr="00B50684">
        <w:rPr>
          <w:i/>
          <w:iCs/>
          <w:noProof/>
          <w:szCs w:val="24"/>
          <w:lang w:val="en-US"/>
        </w:rPr>
        <w:t>Plant Foods for Human Nutrition</w:t>
      </w:r>
      <w:r w:rsidRPr="00B50684">
        <w:rPr>
          <w:noProof/>
          <w:szCs w:val="24"/>
          <w:lang w:val="en-US"/>
        </w:rPr>
        <w:t xml:space="preserve">, </w:t>
      </w:r>
      <w:r w:rsidRPr="00B50684">
        <w:rPr>
          <w:i/>
          <w:iCs/>
          <w:noProof/>
          <w:szCs w:val="24"/>
          <w:lang w:val="en-US"/>
        </w:rPr>
        <w:t>60</w:t>
      </w:r>
      <w:r w:rsidRPr="00B50684">
        <w:rPr>
          <w:noProof/>
          <w:szCs w:val="24"/>
          <w:lang w:val="en-US"/>
        </w:rPr>
        <w:t>, 195–200. http://doi.org/10.1007/s11130-005-8618-y</w:t>
      </w:r>
    </w:p>
    <w:p w14:paraId="4AF9DC8D"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Hernández-Urbiola, M. I., Pérez-Torrero, E., &amp; Rodríguez-García, M. E. (2011). Chemical analysis of nutritional content of prickly pads (Opuntia ficus indica) at varied ages in an organic harvest. </w:t>
      </w:r>
      <w:r w:rsidRPr="00B50684">
        <w:rPr>
          <w:i/>
          <w:iCs/>
          <w:noProof/>
          <w:szCs w:val="24"/>
          <w:lang w:val="en-US"/>
        </w:rPr>
        <w:t>International Journal of Environmental Research and Public Health</w:t>
      </w:r>
      <w:r w:rsidRPr="00B50684">
        <w:rPr>
          <w:noProof/>
          <w:szCs w:val="24"/>
          <w:lang w:val="en-US"/>
        </w:rPr>
        <w:t xml:space="preserve">, </w:t>
      </w:r>
      <w:r w:rsidRPr="00B50684">
        <w:rPr>
          <w:i/>
          <w:iCs/>
          <w:noProof/>
          <w:szCs w:val="24"/>
          <w:lang w:val="en-US"/>
        </w:rPr>
        <w:t>8</w:t>
      </w:r>
      <w:r w:rsidRPr="00B50684">
        <w:rPr>
          <w:noProof/>
          <w:szCs w:val="24"/>
          <w:lang w:val="en-US"/>
        </w:rPr>
        <w:t>(5), 1287–1295. http://doi.org/10.3390/ijerph8051287</w:t>
      </w:r>
    </w:p>
    <w:p w14:paraId="6E8EDA7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Hooser, T. C. Van. (2005). How to Know When a Prickly Pear Is Ripe? Retrieved August 27, 2015, from http://motherhood.modernmom.com/prickly-pear-ripe-13060.html</w:t>
      </w:r>
    </w:p>
    <w:p w14:paraId="79603835"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Joubert, E. (1993). Processing of the fruit of five prickly pear cultivars grown in South Africa. </w:t>
      </w:r>
      <w:r w:rsidRPr="00B50684">
        <w:rPr>
          <w:i/>
          <w:iCs/>
          <w:noProof/>
          <w:szCs w:val="24"/>
          <w:lang w:val="en-US"/>
        </w:rPr>
        <w:t>Food Science and Technology</w:t>
      </w:r>
      <w:r w:rsidRPr="00B50684">
        <w:rPr>
          <w:noProof/>
          <w:szCs w:val="24"/>
          <w:lang w:val="en-US"/>
        </w:rPr>
        <w:t xml:space="preserve">, </w:t>
      </w:r>
      <w:r w:rsidRPr="00B50684">
        <w:rPr>
          <w:i/>
          <w:iCs/>
          <w:noProof/>
          <w:szCs w:val="24"/>
          <w:lang w:val="en-US"/>
        </w:rPr>
        <w:t>28</w:t>
      </w:r>
      <w:r w:rsidRPr="00B50684">
        <w:rPr>
          <w:noProof/>
          <w:szCs w:val="24"/>
          <w:lang w:val="en-US"/>
        </w:rPr>
        <w:t>(4), 377–387. http://doi.org/10.1111/j.1365-2621.1993.tb01284.x</w:t>
      </w:r>
    </w:p>
    <w:p w14:paraId="7B594AF4"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Kossori, R. L. El, Villaume, C., Boustani, E. El, Sauvaire, Y., &amp; Méjean, L. (1998). Composition of pulp, skin and seeds of prickly pears fruit (Opuntia ficus indica sp.). </w:t>
      </w:r>
      <w:r w:rsidRPr="00B50684">
        <w:rPr>
          <w:i/>
          <w:iCs/>
          <w:noProof/>
          <w:szCs w:val="24"/>
          <w:lang w:val="en-US"/>
        </w:rPr>
        <w:t>Plant Foods for Human Nutrition</w:t>
      </w:r>
      <w:r w:rsidRPr="00B50684">
        <w:rPr>
          <w:noProof/>
          <w:szCs w:val="24"/>
          <w:lang w:val="en-US"/>
        </w:rPr>
        <w:t xml:space="preserve">, </w:t>
      </w:r>
      <w:r w:rsidRPr="00B50684">
        <w:rPr>
          <w:i/>
          <w:iCs/>
          <w:noProof/>
          <w:szCs w:val="24"/>
          <w:lang w:val="en-US"/>
        </w:rPr>
        <w:t>52</w:t>
      </w:r>
      <w:r w:rsidRPr="00B50684">
        <w:rPr>
          <w:noProof/>
          <w:szCs w:val="24"/>
          <w:lang w:val="en-US"/>
        </w:rPr>
        <w:t>(3), 263–270. http://doi.org/10.1023/A:1008000232406</w:t>
      </w:r>
    </w:p>
    <w:p w14:paraId="2B9D5CAA"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Kuti, J. O., &amp; Galloway, C. M. (1994). Sugar Composition and lnvertase Activity in Prickly Pear Fruit. </w:t>
      </w:r>
      <w:r w:rsidRPr="00B50684">
        <w:rPr>
          <w:i/>
          <w:iCs/>
          <w:noProof/>
          <w:szCs w:val="24"/>
          <w:lang w:val="en-US"/>
        </w:rPr>
        <w:t>Journal of Food Science</w:t>
      </w:r>
      <w:r w:rsidRPr="00B50684">
        <w:rPr>
          <w:noProof/>
          <w:szCs w:val="24"/>
          <w:lang w:val="en-US"/>
        </w:rPr>
        <w:t xml:space="preserve">, </w:t>
      </w:r>
      <w:r w:rsidRPr="00B50684">
        <w:rPr>
          <w:i/>
          <w:iCs/>
          <w:noProof/>
          <w:szCs w:val="24"/>
          <w:lang w:val="en-US"/>
        </w:rPr>
        <w:t>59</w:t>
      </w:r>
      <w:r w:rsidRPr="00B50684">
        <w:rPr>
          <w:noProof/>
          <w:szCs w:val="24"/>
          <w:lang w:val="en-US"/>
        </w:rPr>
        <w:t>(2), 387–388.</w:t>
      </w:r>
    </w:p>
    <w:p w14:paraId="4EF8C07F"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lastRenderedPageBreak/>
        <w:t xml:space="preserve">Ma, M., Mu, T., Sun, H., Zhang, M., Chen, J., &amp; Yan, Z. (2015). Optimization of extration effciency by shear emulsifying assisted enzymatic hydrolysis and functional properties of dietary of dietary fiber from deoiled cumin ( Cuminum cyninum L.). </w:t>
      </w:r>
      <w:r w:rsidRPr="00D413A1">
        <w:rPr>
          <w:i/>
          <w:iCs/>
          <w:noProof/>
          <w:szCs w:val="24"/>
        </w:rPr>
        <w:t>Food Chemistry</w:t>
      </w:r>
      <w:r w:rsidRPr="00D413A1">
        <w:rPr>
          <w:noProof/>
          <w:szCs w:val="24"/>
        </w:rPr>
        <w:t xml:space="preserve">, </w:t>
      </w:r>
      <w:r w:rsidRPr="00D413A1">
        <w:rPr>
          <w:i/>
          <w:iCs/>
          <w:noProof/>
          <w:szCs w:val="24"/>
        </w:rPr>
        <w:t>179</w:t>
      </w:r>
      <w:r w:rsidRPr="00D413A1">
        <w:rPr>
          <w:noProof/>
          <w:szCs w:val="24"/>
        </w:rPr>
        <w:t>, 270–277.</w:t>
      </w:r>
    </w:p>
    <w:p w14:paraId="37FDA0B4"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Machado, H., Nagem, T., Peters, V., Fonseca, C., &amp; Oliveira, T. (2008). Flavonóides e seu potencial terapêutico. </w:t>
      </w:r>
      <w:r w:rsidRPr="00D413A1">
        <w:rPr>
          <w:i/>
          <w:iCs/>
          <w:noProof/>
          <w:szCs w:val="24"/>
        </w:rPr>
        <w:t>Boletim Do Centro de Biologia Da Reprodução</w:t>
      </w:r>
      <w:r w:rsidRPr="00D413A1">
        <w:rPr>
          <w:noProof/>
          <w:szCs w:val="24"/>
        </w:rPr>
        <w:t xml:space="preserve">, </w:t>
      </w:r>
      <w:r w:rsidRPr="00D413A1">
        <w:rPr>
          <w:i/>
          <w:iCs/>
          <w:noProof/>
          <w:szCs w:val="24"/>
        </w:rPr>
        <w:t>27</w:t>
      </w:r>
      <w:r w:rsidRPr="00D413A1">
        <w:rPr>
          <w:noProof/>
          <w:szCs w:val="24"/>
        </w:rPr>
        <w:t>(1/2), 33–39.</w:t>
      </w:r>
    </w:p>
    <w:p w14:paraId="180AE7B2"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Machlin, L. J., &amp; Bendich, A. (1987). Free radical tissue damage : protective role of antioxidant nutrients. </w:t>
      </w:r>
      <w:r w:rsidRPr="00D413A1">
        <w:rPr>
          <w:i/>
          <w:iCs/>
          <w:noProof/>
          <w:szCs w:val="24"/>
        </w:rPr>
        <w:t>Clinical Nutrition</w:t>
      </w:r>
      <w:r w:rsidRPr="00D413A1">
        <w:rPr>
          <w:noProof/>
          <w:szCs w:val="24"/>
        </w:rPr>
        <w:t xml:space="preserve">, </w:t>
      </w:r>
      <w:r w:rsidRPr="00D413A1">
        <w:rPr>
          <w:i/>
          <w:iCs/>
          <w:noProof/>
          <w:szCs w:val="24"/>
        </w:rPr>
        <w:t>1</w:t>
      </w:r>
      <w:r w:rsidRPr="00D413A1">
        <w:rPr>
          <w:noProof/>
          <w:szCs w:val="24"/>
        </w:rPr>
        <w:t>(6), 441–445. http://doi.org/0892-6638/87/0001-0441</w:t>
      </w:r>
    </w:p>
    <w:p w14:paraId="75674405"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Madureira, T. V., Rocha, M. J., Cass, Q. B., &amp; Tiritan, M. E. (2010). </w:t>
      </w:r>
      <w:r w:rsidRPr="00B50684">
        <w:rPr>
          <w:noProof/>
          <w:szCs w:val="24"/>
          <w:lang w:val="en-US"/>
        </w:rPr>
        <w:t xml:space="preserve">Development and optimization of a HPLC-DAD method for the determination of diverse pharmaceuticals in estuarine surface waters. </w:t>
      </w:r>
      <w:r w:rsidRPr="00B50684">
        <w:rPr>
          <w:i/>
          <w:iCs/>
          <w:noProof/>
          <w:szCs w:val="24"/>
          <w:lang w:val="en-US"/>
        </w:rPr>
        <w:t>Journal of Chromatographic Science</w:t>
      </w:r>
      <w:r w:rsidRPr="00B50684">
        <w:rPr>
          <w:noProof/>
          <w:szCs w:val="24"/>
          <w:lang w:val="en-US"/>
        </w:rPr>
        <w:t xml:space="preserve">, </w:t>
      </w:r>
      <w:r w:rsidRPr="00B50684">
        <w:rPr>
          <w:i/>
          <w:iCs/>
          <w:noProof/>
          <w:szCs w:val="24"/>
          <w:lang w:val="en-US"/>
        </w:rPr>
        <w:t>48</w:t>
      </w:r>
      <w:r w:rsidRPr="00B50684">
        <w:rPr>
          <w:noProof/>
          <w:szCs w:val="24"/>
          <w:lang w:val="en-US"/>
        </w:rPr>
        <w:t>, 176–182.</w:t>
      </w:r>
    </w:p>
    <w:p w14:paraId="15A9620A"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Magwaza, L. S., Opara, U. L., Terry, L. A., Landahl, S., Cronje, P. J. R. Nieuwoudt, H. H. Hanssens, A., Saeys, W., &amp; Nicolaï, B. M. (2013). Evaluation of Fourier Transform-NIR Spectroscopy for Integrated External and Internal Quality Assessment of Valencia Oranges. </w:t>
      </w:r>
      <w:r w:rsidRPr="00B50684">
        <w:rPr>
          <w:i/>
          <w:iCs/>
          <w:noProof/>
          <w:szCs w:val="24"/>
          <w:lang w:val="en-US"/>
        </w:rPr>
        <w:t>J. Food Compos. Anal.</w:t>
      </w:r>
      <w:r w:rsidRPr="00B50684">
        <w:rPr>
          <w:noProof/>
          <w:szCs w:val="24"/>
          <w:lang w:val="en-US"/>
        </w:rPr>
        <w:t xml:space="preserve">, </w:t>
      </w:r>
      <w:r w:rsidRPr="00B50684">
        <w:rPr>
          <w:i/>
          <w:iCs/>
          <w:noProof/>
          <w:szCs w:val="24"/>
          <w:lang w:val="en-US"/>
        </w:rPr>
        <w:t>31</w:t>
      </w:r>
      <w:r w:rsidRPr="00B50684">
        <w:rPr>
          <w:noProof/>
          <w:szCs w:val="24"/>
          <w:lang w:val="en-US"/>
        </w:rPr>
        <w:t>, 144–154.</w:t>
      </w:r>
    </w:p>
    <w:p w14:paraId="1E22D49B"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Makahlel, A., Saad, B., &amp; Bari, M. F. (2015). Synthetic phenolic as antioxidants for food preservation. In F. Shahidi (Ed.), </w:t>
      </w:r>
      <w:r w:rsidRPr="00B50684">
        <w:rPr>
          <w:i/>
          <w:iCs/>
          <w:noProof/>
          <w:szCs w:val="24"/>
          <w:lang w:val="en-US"/>
        </w:rPr>
        <w:t>Handbook of Antioxidants for Food Preservation</w:t>
      </w:r>
      <w:r w:rsidRPr="00B50684">
        <w:rPr>
          <w:noProof/>
          <w:szCs w:val="24"/>
          <w:lang w:val="en-US"/>
        </w:rPr>
        <w:t xml:space="preserve"> (pp. 51–75). Cambridge: WoodHead.</w:t>
      </w:r>
    </w:p>
    <w:p w14:paraId="3942EFE9"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Martínez-Flórez, S., González-Gallego, J., Culebras, J. M., &amp; Tuñón, M. J. (2002). </w:t>
      </w:r>
      <w:r w:rsidRPr="00D413A1">
        <w:rPr>
          <w:noProof/>
          <w:szCs w:val="24"/>
        </w:rPr>
        <w:t xml:space="preserve">Los flavonoides: Propiedades y acciones antioxidantes. </w:t>
      </w:r>
      <w:r w:rsidRPr="00D413A1">
        <w:rPr>
          <w:i/>
          <w:iCs/>
          <w:noProof/>
          <w:szCs w:val="24"/>
        </w:rPr>
        <w:t>Nutricion Hospitalaria</w:t>
      </w:r>
      <w:r w:rsidRPr="00D413A1">
        <w:rPr>
          <w:noProof/>
          <w:szCs w:val="24"/>
        </w:rPr>
        <w:t xml:space="preserve">, </w:t>
      </w:r>
      <w:r w:rsidRPr="00D413A1">
        <w:rPr>
          <w:i/>
          <w:iCs/>
          <w:noProof/>
          <w:szCs w:val="24"/>
        </w:rPr>
        <w:t>17</w:t>
      </w:r>
      <w:r w:rsidRPr="00D413A1">
        <w:rPr>
          <w:noProof/>
          <w:szCs w:val="24"/>
        </w:rPr>
        <w:t>(6), 271–278. http://doi.org/10.3305/nutr hosp.v17in06.3338</w:t>
      </w:r>
    </w:p>
    <w:p w14:paraId="57FAA0E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Medina, E. . D., Rodríguez, E. . R., &amp; Romero, C. D. (2007). </w:t>
      </w:r>
      <w:r w:rsidRPr="00B50684">
        <w:rPr>
          <w:noProof/>
          <w:szCs w:val="24"/>
          <w:lang w:val="en-US"/>
        </w:rPr>
        <w:t xml:space="preserve">Chemical characterization of Opuntia dillenii and Opuntia ficus indica fruits. </w:t>
      </w:r>
      <w:r w:rsidRPr="00B50684">
        <w:rPr>
          <w:i/>
          <w:iCs/>
          <w:noProof/>
          <w:szCs w:val="24"/>
          <w:lang w:val="en-US"/>
        </w:rPr>
        <w:t>Food Chemistry</w:t>
      </w:r>
      <w:r w:rsidRPr="00B50684">
        <w:rPr>
          <w:noProof/>
          <w:szCs w:val="24"/>
          <w:lang w:val="en-US"/>
        </w:rPr>
        <w:t xml:space="preserve">, </w:t>
      </w:r>
      <w:r w:rsidRPr="00B50684">
        <w:rPr>
          <w:i/>
          <w:iCs/>
          <w:noProof/>
          <w:szCs w:val="24"/>
          <w:lang w:val="en-US"/>
        </w:rPr>
        <w:t>103</w:t>
      </w:r>
      <w:r w:rsidRPr="00B50684">
        <w:rPr>
          <w:noProof/>
          <w:szCs w:val="24"/>
          <w:lang w:val="en-US"/>
        </w:rPr>
        <w:t>, 38–45. http://doi.org/10.1016/j.foodchem.2006.06.064</w:t>
      </w:r>
    </w:p>
    <w:p w14:paraId="44FC716C"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Medronho, J. C. P. (2015). </w:t>
      </w:r>
      <w:r w:rsidRPr="00D413A1">
        <w:rPr>
          <w:i/>
          <w:iCs/>
          <w:noProof/>
          <w:szCs w:val="24"/>
        </w:rPr>
        <w:t>Avaliação da atividade Biológica em teor de fenóis de diferentes extratos de Palmeira Anã (Chamaerops Humilis L.)</w:t>
      </w:r>
      <w:r w:rsidRPr="00D413A1">
        <w:rPr>
          <w:noProof/>
          <w:szCs w:val="24"/>
        </w:rPr>
        <w:t>. Universidade do Algarve.</w:t>
      </w:r>
    </w:p>
    <w:p w14:paraId="23982775"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Miranda, S. A. D. (2014). </w:t>
      </w:r>
      <w:r w:rsidRPr="00D413A1">
        <w:rPr>
          <w:i/>
          <w:iCs/>
          <w:noProof/>
          <w:szCs w:val="24"/>
        </w:rPr>
        <w:t xml:space="preserve">Caracterização nutricional e funcional de três </w:t>
      </w:r>
      <w:r w:rsidRPr="00D413A1">
        <w:rPr>
          <w:i/>
          <w:iCs/>
          <w:noProof/>
          <w:szCs w:val="24"/>
        </w:rPr>
        <w:lastRenderedPageBreak/>
        <w:t>variedades portuguesas de figo de piteira</w:t>
      </w:r>
      <w:r w:rsidRPr="00D413A1">
        <w:rPr>
          <w:noProof/>
          <w:szCs w:val="24"/>
        </w:rPr>
        <w:t>. Universidade de Atlântica.</w:t>
      </w:r>
    </w:p>
    <w:p w14:paraId="1F2E8A93"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Monteiro, J. M., Paulino, U., Albuquerque, D., &amp; Lima, E. De. (2005). Taninos: Uma abordagem da química à ecologia, </w:t>
      </w:r>
      <w:r w:rsidRPr="00D413A1">
        <w:rPr>
          <w:i/>
          <w:iCs/>
          <w:noProof/>
          <w:szCs w:val="24"/>
        </w:rPr>
        <w:t>28</w:t>
      </w:r>
      <w:r w:rsidRPr="00D413A1">
        <w:rPr>
          <w:noProof/>
          <w:szCs w:val="24"/>
        </w:rPr>
        <w:t>(5), 892–896.</w:t>
      </w:r>
    </w:p>
    <w:p w14:paraId="5786DF6D"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Moraes, F. P., &amp; Colla, L. M. (2006). Alimentos Funcionais E Nutracêuticos: Definições, Legislação E Benefícios À Saúde. </w:t>
      </w:r>
      <w:r w:rsidRPr="00D413A1">
        <w:rPr>
          <w:i/>
          <w:iCs/>
          <w:noProof/>
          <w:szCs w:val="24"/>
        </w:rPr>
        <w:t>Revista Eletrônica de Farmácia</w:t>
      </w:r>
      <w:r w:rsidRPr="00D413A1">
        <w:rPr>
          <w:noProof/>
          <w:szCs w:val="24"/>
        </w:rPr>
        <w:t xml:space="preserve">, </w:t>
      </w:r>
      <w:r w:rsidRPr="00D413A1">
        <w:rPr>
          <w:i/>
          <w:iCs/>
          <w:noProof/>
          <w:szCs w:val="24"/>
        </w:rPr>
        <w:t>3</w:t>
      </w:r>
      <w:r w:rsidRPr="00D413A1">
        <w:rPr>
          <w:noProof/>
          <w:szCs w:val="24"/>
        </w:rPr>
        <w:t>(2), 109–122. Retrieved from file:///C:/Users/Jordano Ferreira/Downloads/Artigo - Alimentos funcionais (1).pdf</w:t>
      </w:r>
    </w:p>
    <w:p w14:paraId="6C36310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Moßhammer, M. R., Stintzing, F. C., &amp; Carle, R. (2006). Cactus Pear Fruits ( Opuntia spp .): A Review of Processing Technologies and Current Uses. </w:t>
      </w:r>
      <w:r w:rsidRPr="00B50684">
        <w:rPr>
          <w:i/>
          <w:iCs/>
          <w:noProof/>
          <w:szCs w:val="24"/>
          <w:lang w:val="en-US"/>
        </w:rPr>
        <w:t>Journal of the Professional Association for Cactus Development</w:t>
      </w:r>
      <w:r w:rsidRPr="00B50684">
        <w:rPr>
          <w:noProof/>
          <w:szCs w:val="24"/>
          <w:lang w:val="en-US"/>
        </w:rPr>
        <w:t xml:space="preserve">, </w:t>
      </w:r>
      <w:r w:rsidRPr="00B50684">
        <w:rPr>
          <w:i/>
          <w:iCs/>
          <w:noProof/>
          <w:szCs w:val="24"/>
          <w:lang w:val="en-US"/>
        </w:rPr>
        <w:t>8</w:t>
      </w:r>
      <w:r w:rsidRPr="00B50684">
        <w:rPr>
          <w:noProof/>
          <w:szCs w:val="24"/>
          <w:lang w:val="en-US"/>
        </w:rPr>
        <w:t>, 1–25.</w:t>
      </w:r>
    </w:p>
    <w:p w14:paraId="760326D0"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Mullenweg, M. (2013). </w:t>
      </w:r>
      <w:r w:rsidRPr="00D413A1">
        <w:rPr>
          <w:noProof/>
          <w:szCs w:val="24"/>
        </w:rPr>
        <w:t xml:space="preserve">Betalaínas e cactos do género Opuntia na alimentação e farmacologia. </w:t>
      </w:r>
      <w:r w:rsidRPr="00B50684">
        <w:rPr>
          <w:noProof/>
          <w:szCs w:val="24"/>
          <w:lang w:val="en-US"/>
        </w:rPr>
        <w:t>Retrieved from https://cinutri.wordpress.com/2013/05/15/betalainas-e-cactos-do-genero-opuntia-na-alimentacao-e-farmacologia-2/</w:t>
      </w:r>
    </w:p>
    <w:p w14:paraId="71F4FAF6"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Neiro, E. da S., Nanni, M. R., Romagnoli, F., Campos, R. M., Cezar, E., Chicati, M. L., &amp; Oliveira, R. B. de. (2013). Análise de cor para discriminação de seis variedades de cana-de-açucar em quatro épocas de colheita no ano. </w:t>
      </w:r>
      <w:r w:rsidRPr="00D413A1">
        <w:rPr>
          <w:i/>
          <w:iCs/>
          <w:noProof/>
          <w:szCs w:val="24"/>
        </w:rPr>
        <w:t>Anais XVI Simpósio Brasileiro de Sensoriamento Remoto</w:t>
      </w:r>
      <w:r w:rsidRPr="00D413A1">
        <w:rPr>
          <w:noProof/>
          <w:szCs w:val="24"/>
        </w:rPr>
        <w:t xml:space="preserve">, </w:t>
      </w:r>
      <w:r w:rsidRPr="00D413A1">
        <w:rPr>
          <w:i/>
          <w:iCs/>
          <w:noProof/>
          <w:szCs w:val="24"/>
        </w:rPr>
        <w:t>13</w:t>
      </w:r>
      <w:r w:rsidRPr="00D413A1">
        <w:rPr>
          <w:noProof/>
          <w:szCs w:val="24"/>
        </w:rPr>
        <w:t>–</w:t>
      </w:r>
      <w:r w:rsidRPr="00D413A1">
        <w:rPr>
          <w:i/>
          <w:iCs/>
          <w:noProof/>
          <w:szCs w:val="24"/>
        </w:rPr>
        <w:t>18 Ab</w:t>
      </w:r>
      <w:r w:rsidRPr="00D413A1">
        <w:rPr>
          <w:noProof/>
          <w:szCs w:val="24"/>
        </w:rPr>
        <w:t>, 274–281.</w:t>
      </w:r>
    </w:p>
    <w:p w14:paraId="5E4CA3E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Nijveldt, R. J., Van Nood, E., Van Hoorn, D. E., Boelens, P. G., Van Norren, K., &amp; Van Leeuwen, P. A. (2001). </w:t>
      </w:r>
      <w:r w:rsidRPr="00B50684">
        <w:rPr>
          <w:noProof/>
          <w:szCs w:val="24"/>
          <w:lang w:val="en-US"/>
        </w:rPr>
        <w:t xml:space="preserve">Flavonoids: a review of probable mechanisms of action and potencial applications. </w:t>
      </w:r>
      <w:r w:rsidRPr="00B50684">
        <w:rPr>
          <w:i/>
          <w:iCs/>
          <w:noProof/>
          <w:szCs w:val="24"/>
          <w:lang w:val="en-US"/>
        </w:rPr>
        <w:t>Am J Clin Nutr</w:t>
      </w:r>
      <w:r w:rsidRPr="00B50684">
        <w:rPr>
          <w:noProof/>
          <w:szCs w:val="24"/>
          <w:lang w:val="en-US"/>
        </w:rPr>
        <w:t xml:space="preserve">, </w:t>
      </w:r>
      <w:r w:rsidRPr="00B50684">
        <w:rPr>
          <w:i/>
          <w:iCs/>
          <w:noProof/>
          <w:szCs w:val="24"/>
          <w:lang w:val="en-US"/>
        </w:rPr>
        <w:t>74</w:t>
      </w:r>
      <w:r w:rsidRPr="00B50684">
        <w:rPr>
          <w:noProof/>
          <w:szCs w:val="24"/>
          <w:lang w:val="en-US"/>
        </w:rPr>
        <w:t>(4), 418–425.</w:t>
      </w:r>
    </w:p>
    <w:p w14:paraId="3D37D9F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Nordberga, J., &amp; Arnér, E. S. J. (2001). Reactive oxygen species, antioxidants, and the mammalian thioredoxin system. </w:t>
      </w:r>
      <w:r w:rsidRPr="00B50684">
        <w:rPr>
          <w:i/>
          <w:iCs/>
          <w:noProof/>
          <w:szCs w:val="24"/>
          <w:lang w:val="en-US"/>
        </w:rPr>
        <w:t>Free Radical Biology and Medicine</w:t>
      </w:r>
      <w:r w:rsidRPr="00B50684">
        <w:rPr>
          <w:noProof/>
          <w:szCs w:val="24"/>
          <w:lang w:val="en-US"/>
        </w:rPr>
        <w:t xml:space="preserve">, </w:t>
      </w:r>
      <w:r w:rsidRPr="00B50684">
        <w:rPr>
          <w:i/>
          <w:iCs/>
          <w:noProof/>
          <w:szCs w:val="24"/>
          <w:lang w:val="en-US"/>
        </w:rPr>
        <w:t>31</w:t>
      </w:r>
      <w:r w:rsidRPr="00B50684">
        <w:rPr>
          <w:noProof/>
          <w:szCs w:val="24"/>
          <w:lang w:val="en-US"/>
        </w:rPr>
        <w:t>(11), 1287–1312. http://doi.org/010.1016/S0891-5849(01)00724-9</w:t>
      </w:r>
    </w:p>
    <w:p w14:paraId="22B18970"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Pandey, K. B., &amp; Rizvi, S. I. (2009). Plant polyphenols as dietary antioxidants in human health and disease. </w:t>
      </w:r>
      <w:r w:rsidRPr="00D413A1">
        <w:rPr>
          <w:i/>
          <w:iCs/>
          <w:noProof/>
          <w:szCs w:val="24"/>
        </w:rPr>
        <w:t>Oxidative Medicine and Cellular Longevity</w:t>
      </w:r>
      <w:r w:rsidRPr="00D413A1">
        <w:rPr>
          <w:noProof/>
          <w:szCs w:val="24"/>
        </w:rPr>
        <w:t xml:space="preserve">, </w:t>
      </w:r>
      <w:r w:rsidRPr="00D413A1">
        <w:rPr>
          <w:i/>
          <w:iCs/>
          <w:noProof/>
          <w:szCs w:val="24"/>
        </w:rPr>
        <w:t>2</w:t>
      </w:r>
      <w:r w:rsidRPr="00D413A1">
        <w:rPr>
          <w:noProof/>
          <w:szCs w:val="24"/>
        </w:rPr>
        <w:t>(5), 270–278.</w:t>
      </w:r>
    </w:p>
    <w:p w14:paraId="0FF243B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Patro, R. (2013). Figueira-da-índia – Opuntia ficus-indica. </w:t>
      </w:r>
      <w:r w:rsidRPr="00B50684">
        <w:rPr>
          <w:noProof/>
          <w:szCs w:val="24"/>
          <w:lang w:val="en-US"/>
        </w:rPr>
        <w:t>Retrieved February 22, 2016, from http://www.jardineiro.net/plantas/figueira-da-india-opuntia-ficus-indica.html</w:t>
      </w:r>
    </w:p>
    <w:p w14:paraId="5C1C7588"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lastRenderedPageBreak/>
        <w:t xml:space="preserve">Pereira, D. M., Valentão, P., Pereira, J. A., &amp; Andrade, P. B. (2009). </w:t>
      </w:r>
      <w:r w:rsidRPr="00B50684">
        <w:rPr>
          <w:noProof/>
          <w:szCs w:val="24"/>
          <w:lang w:val="en-US"/>
        </w:rPr>
        <w:t xml:space="preserve">Phenolics: From Chemistry to Biology. </w:t>
      </w:r>
      <w:r w:rsidRPr="00B50684">
        <w:rPr>
          <w:i/>
          <w:iCs/>
          <w:noProof/>
          <w:szCs w:val="24"/>
          <w:lang w:val="en-US"/>
        </w:rPr>
        <w:t>Molecules</w:t>
      </w:r>
      <w:r w:rsidRPr="00B50684">
        <w:rPr>
          <w:noProof/>
          <w:szCs w:val="24"/>
          <w:lang w:val="en-US"/>
        </w:rPr>
        <w:t xml:space="preserve">, </w:t>
      </w:r>
      <w:r w:rsidRPr="00B50684">
        <w:rPr>
          <w:i/>
          <w:iCs/>
          <w:noProof/>
          <w:szCs w:val="24"/>
          <w:lang w:val="en-US"/>
        </w:rPr>
        <w:t>14</w:t>
      </w:r>
      <w:r w:rsidRPr="00B50684">
        <w:rPr>
          <w:noProof/>
          <w:szCs w:val="24"/>
          <w:lang w:val="en-US"/>
        </w:rPr>
        <w:t>, 2202–2211. http://doi.org/10.3390/molecules14062202</w:t>
      </w:r>
    </w:p>
    <w:p w14:paraId="4AD5C922"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Pietta, P.-G. (2000). Flavonoids as antioxidants. </w:t>
      </w:r>
      <w:r w:rsidRPr="00B50684">
        <w:rPr>
          <w:i/>
          <w:iCs/>
          <w:noProof/>
          <w:szCs w:val="24"/>
          <w:lang w:val="en-US"/>
        </w:rPr>
        <w:t>Journal of Natural Products</w:t>
      </w:r>
      <w:r w:rsidRPr="00B50684">
        <w:rPr>
          <w:noProof/>
          <w:szCs w:val="24"/>
          <w:lang w:val="en-US"/>
        </w:rPr>
        <w:t xml:space="preserve">, </w:t>
      </w:r>
      <w:r w:rsidRPr="00B50684">
        <w:rPr>
          <w:i/>
          <w:iCs/>
          <w:noProof/>
          <w:szCs w:val="24"/>
          <w:lang w:val="en-US"/>
        </w:rPr>
        <w:t>633</w:t>
      </w:r>
      <w:r w:rsidRPr="00B50684">
        <w:rPr>
          <w:noProof/>
          <w:szCs w:val="24"/>
          <w:lang w:val="en-US"/>
        </w:rPr>
        <w:t>(7), 1035–1042.</w:t>
      </w:r>
    </w:p>
    <w:p w14:paraId="0691F85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Piga, A. (2004). Cactus Pear : A Fruit of Nutraceutical and Functional Importance. </w:t>
      </w:r>
      <w:r w:rsidRPr="00B50684">
        <w:rPr>
          <w:i/>
          <w:iCs/>
          <w:noProof/>
          <w:szCs w:val="24"/>
          <w:lang w:val="en-US"/>
        </w:rPr>
        <w:t>Journal of the Professional Association for Cactus Development</w:t>
      </w:r>
      <w:r w:rsidRPr="00B50684">
        <w:rPr>
          <w:noProof/>
          <w:szCs w:val="24"/>
          <w:lang w:val="en-US"/>
        </w:rPr>
        <w:t xml:space="preserve">, </w:t>
      </w:r>
      <w:r w:rsidRPr="00B50684">
        <w:rPr>
          <w:i/>
          <w:iCs/>
          <w:noProof/>
          <w:szCs w:val="24"/>
          <w:lang w:val="en-US"/>
        </w:rPr>
        <w:t>6</w:t>
      </w:r>
      <w:r w:rsidRPr="00B50684">
        <w:rPr>
          <w:noProof/>
          <w:szCs w:val="24"/>
          <w:lang w:val="en-US"/>
        </w:rPr>
        <w:t>(February), 9–22.</w:t>
      </w:r>
    </w:p>
    <w:p w14:paraId="28F00289"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Pinho, O., Ferreira, I. M., Oliveira, M. B. P., &amp; Ferreira, M. (1999). </w:t>
      </w:r>
      <w:r w:rsidRPr="00D413A1">
        <w:rPr>
          <w:noProof/>
          <w:szCs w:val="24"/>
        </w:rPr>
        <w:t xml:space="preserve">Antioxidantes sintéticos dos produtos carnéos. </w:t>
      </w:r>
      <w:r w:rsidRPr="00D413A1">
        <w:rPr>
          <w:i/>
          <w:iCs/>
          <w:noProof/>
          <w:szCs w:val="24"/>
        </w:rPr>
        <w:t>Revista de Alimentação Humana</w:t>
      </w:r>
      <w:r w:rsidRPr="00D413A1">
        <w:rPr>
          <w:noProof/>
          <w:szCs w:val="24"/>
        </w:rPr>
        <w:t xml:space="preserve">, </w:t>
      </w:r>
      <w:r w:rsidRPr="00D413A1">
        <w:rPr>
          <w:i/>
          <w:iCs/>
          <w:noProof/>
          <w:szCs w:val="24"/>
        </w:rPr>
        <w:t>3</w:t>
      </w:r>
      <w:r w:rsidRPr="00D413A1">
        <w:rPr>
          <w:noProof/>
          <w:szCs w:val="24"/>
        </w:rPr>
        <w:t>(2), 45–53.</w:t>
      </w:r>
    </w:p>
    <w:p w14:paraId="1A9E03B6"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Poljsak, B., Šuput, D., &amp; Milisav, I. (2013). </w:t>
      </w:r>
      <w:r w:rsidRPr="00B50684">
        <w:rPr>
          <w:noProof/>
          <w:szCs w:val="24"/>
          <w:lang w:val="en-US"/>
        </w:rPr>
        <w:t xml:space="preserve">Achieving the Balance between ROS and Antioxidants : When to Use the Synthetic Antioxidants. </w:t>
      </w:r>
      <w:r w:rsidRPr="00B50684">
        <w:rPr>
          <w:i/>
          <w:iCs/>
          <w:noProof/>
          <w:szCs w:val="24"/>
          <w:lang w:val="en-US"/>
        </w:rPr>
        <w:t>Oxidative Medicine and Cellular Longevity</w:t>
      </w:r>
      <w:r w:rsidRPr="00B50684">
        <w:rPr>
          <w:noProof/>
          <w:szCs w:val="24"/>
          <w:lang w:val="en-US"/>
        </w:rPr>
        <w:t xml:space="preserve">, </w:t>
      </w:r>
      <w:r w:rsidRPr="00B50684">
        <w:rPr>
          <w:i/>
          <w:iCs/>
          <w:noProof/>
          <w:szCs w:val="24"/>
          <w:lang w:val="en-US"/>
        </w:rPr>
        <w:t>2013</w:t>
      </w:r>
      <w:r w:rsidRPr="00B50684">
        <w:rPr>
          <w:noProof/>
          <w:szCs w:val="24"/>
          <w:lang w:val="en-US"/>
        </w:rPr>
        <w:t>, 11. http://doi.org/10.1155/2013/956792</w:t>
      </w:r>
    </w:p>
    <w:p w14:paraId="3B010A9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Pratt, D. E. (1992). Phenolic Compounds in Food and Their Effects on Health. In </w:t>
      </w:r>
      <w:r w:rsidRPr="00B50684">
        <w:rPr>
          <w:i/>
          <w:iCs/>
          <w:noProof/>
          <w:szCs w:val="24"/>
          <w:lang w:val="en-US"/>
        </w:rPr>
        <w:t>Natural Antioxidants from Plant Material</w:t>
      </w:r>
      <w:r w:rsidRPr="00B50684">
        <w:rPr>
          <w:noProof/>
          <w:szCs w:val="24"/>
          <w:lang w:val="en-US"/>
        </w:rPr>
        <w:t xml:space="preserve"> (pp. 54–71). West Lafayette: ACS Symposium Series. http://doi.org/10.1021/bk-1992-0507.ch005</w:t>
      </w:r>
    </w:p>
    <w:p w14:paraId="3200733D"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Re, R., Pellegrini, N., Proteggente, A., Pannala, A., Yang, M., &amp; Rice-Evans, C. (1999). Antioxidant activity applying an improved ABTS radical cation decolorization assay. </w:t>
      </w:r>
      <w:r w:rsidRPr="00B50684">
        <w:rPr>
          <w:i/>
          <w:iCs/>
          <w:noProof/>
          <w:szCs w:val="24"/>
          <w:lang w:val="en-US"/>
        </w:rPr>
        <w:t>Free Radical Biology and Medicine</w:t>
      </w:r>
      <w:r w:rsidRPr="00B50684">
        <w:rPr>
          <w:noProof/>
          <w:szCs w:val="24"/>
          <w:lang w:val="en-US"/>
        </w:rPr>
        <w:t xml:space="preserve">, </w:t>
      </w:r>
      <w:r w:rsidRPr="00B50684">
        <w:rPr>
          <w:i/>
          <w:iCs/>
          <w:noProof/>
          <w:szCs w:val="24"/>
          <w:lang w:val="en-US"/>
        </w:rPr>
        <w:t>26</w:t>
      </w:r>
      <w:r w:rsidRPr="00B50684">
        <w:rPr>
          <w:noProof/>
          <w:szCs w:val="24"/>
          <w:lang w:val="en-US"/>
        </w:rPr>
        <w:t>(9–10), 1231–1237.</w:t>
      </w:r>
    </w:p>
    <w:p w14:paraId="5651B4F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Robak, J., &amp; Gryglewski, R. J. (1988). Flavonoids are scavengers of superoxide anions. </w:t>
      </w:r>
      <w:r w:rsidRPr="00B50684">
        <w:rPr>
          <w:i/>
          <w:iCs/>
          <w:noProof/>
          <w:szCs w:val="24"/>
          <w:lang w:val="en-US"/>
        </w:rPr>
        <w:t>Biochemical Pharmacology</w:t>
      </w:r>
      <w:r w:rsidRPr="00B50684">
        <w:rPr>
          <w:noProof/>
          <w:szCs w:val="24"/>
          <w:lang w:val="en-US"/>
        </w:rPr>
        <w:t xml:space="preserve">, </w:t>
      </w:r>
      <w:r w:rsidRPr="00B50684">
        <w:rPr>
          <w:i/>
          <w:iCs/>
          <w:noProof/>
          <w:szCs w:val="24"/>
          <w:lang w:val="en-US"/>
        </w:rPr>
        <w:t>37</w:t>
      </w:r>
      <w:r w:rsidRPr="00B50684">
        <w:rPr>
          <w:noProof/>
          <w:szCs w:val="24"/>
          <w:lang w:val="en-US"/>
        </w:rPr>
        <w:t>(5), 837–841. http://doi.org/10.1016/0006-2952(88)90169-4</w:t>
      </w:r>
    </w:p>
    <w:p w14:paraId="17983E5A"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Robbins, R. J. (2003). Phenolic Acids in Foods: An Overview of Analytical Methodology. </w:t>
      </w:r>
      <w:r w:rsidRPr="00B50684">
        <w:rPr>
          <w:i/>
          <w:iCs/>
          <w:noProof/>
          <w:szCs w:val="24"/>
          <w:lang w:val="en-US"/>
        </w:rPr>
        <w:t>Journal of Agricultural and Food Chemistry</w:t>
      </w:r>
      <w:r w:rsidRPr="00B50684">
        <w:rPr>
          <w:noProof/>
          <w:szCs w:val="24"/>
          <w:lang w:val="en-US"/>
        </w:rPr>
        <w:t xml:space="preserve">, </w:t>
      </w:r>
      <w:r w:rsidRPr="00B50684">
        <w:rPr>
          <w:i/>
          <w:iCs/>
          <w:noProof/>
          <w:szCs w:val="24"/>
          <w:lang w:val="en-US"/>
        </w:rPr>
        <w:t>51</w:t>
      </w:r>
      <w:r w:rsidRPr="00B50684">
        <w:rPr>
          <w:noProof/>
          <w:szCs w:val="24"/>
          <w:lang w:val="en-US"/>
        </w:rPr>
        <w:t>(10), 2866–2887. http://doi.org/10.1021/jf026182t</w:t>
      </w:r>
    </w:p>
    <w:p w14:paraId="469CB546"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Rocha, W. S., Lopes, R. M., Silva, D. B., Vieira, R. F., Silva, J. P., &amp; Agostini-Costa, T. de S. (2011). </w:t>
      </w:r>
      <w:r w:rsidRPr="00D413A1">
        <w:rPr>
          <w:noProof/>
          <w:szCs w:val="24"/>
        </w:rPr>
        <w:t xml:space="preserve">Compostos fenólicos totais e taninos condensados e frutas nativas do cerrado. </w:t>
      </w:r>
      <w:r w:rsidRPr="00D413A1">
        <w:rPr>
          <w:i/>
          <w:iCs/>
          <w:noProof/>
          <w:szCs w:val="24"/>
        </w:rPr>
        <w:t>Rev. Bras. Frutic.</w:t>
      </w:r>
      <w:r w:rsidRPr="00D413A1">
        <w:rPr>
          <w:noProof/>
          <w:szCs w:val="24"/>
        </w:rPr>
        <w:t xml:space="preserve">, </w:t>
      </w:r>
      <w:r w:rsidRPr="00D413A1">
        <w:rPr>
          <w:i/>
          <w:iCs/>
          <w:noProof/>
          <w:szCs w:val="24"/>
        </w:rPr>
        <w:t>33</w:t>
      </w:r>
      <w:r w:rsidRPr="00D413A1">
        <w:rPr>
          <w:noProof/>
          <w:szCs w:val="24"/>
        </w:rPr>
        <w:t>(4), 1215–1221.</w:t>
      </w:r>
    </w:p>
    <w:p w14:paraId="04E30936"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Rosale Liége Alves de Souza. (2014). </w:t>
      </w:r>
      <w:r w:rsidRPr="00D413A1">
        <w:rPr>
          <w:i/>
          <w:iCs/>
          <w:noProof/>
          <w:szCs w:val="24"/>
        </w:rPr>
        <w:t xml:space="preserve">Estudo da funcionalidade de espécies comestíveis do semiárido nordestino e estratégias para sua utilização </w:t>
      </w:r>
      <w:r w:rsidRPr="00D413A1">
        <w:rPr>
          <w:i/>
          <w:iCs/>
          <w:noProof/>
          <w:szCs w:val="24"/>
        </w:rPr>
        <w:lastRenderedPageBreak/>
        <w:t>como ingredientes para fins alimentícios</w:t>
      </w:r>
      <w:r w:rsidRPr="00D413A1">
        <w:rPr>
          <w:noProof/>
          <w:szCs w:val="24"/>
        </w:rPr>
        <w:t>. Universidade Federal do Rio Grande do Norte.</w:t>
      </w:r>
    </w:p>
    <w:p w14:paraId="14E51AB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Rosário, L., Serrano, C., Moldão, M., &amp; Esteves, P. (n.d.). </w:t>
      </w:r>
      <w:r w:rsidRPr="00D413A1">
        <w:rPr>
          <w:i/>
          <w:iCs/>
          <w:noProof/>
          <w:szCs w:val="24"/>
        </w:rPr>
        <w:t>Extracção e termo-estabilidade do corante natural obtido a partir de Figo-da-Índia ( Opuntia stricta )</w:t>
      </w:r>
      <w:r w:rsidRPr="00D413A1">
        <w:rPr>
          <w:noProof/>
          <w:szCs w:val="24"/>
        </w:rPr>
        <w:t xml:space="preserve">. </w:t>
      </w:r>
      <w:r w:rsidRPr="00B50684">
        <w:rPr>
          <w:noProof/>
          <w:szCs w:val="24"/>
          <w:lang w:val="en-US"/>
        </w:rPr>
        <w:t>Lisboa.</w:t>
      </w:r>
    </w:p>
    <w:p w14:paraId="343F6807"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Sáenz, C., &amp; Sepúlveda, E. (2001). Cactus-Pear Juices. </w:t>
      </w:r>
      <w:r w:rsidRPr="00B50684">
        <w:rPr>
          <w:i/>
          <w:iCs/>
          <w:noProof/>
          <w:szCs w:val="24"/>
          <w:lang w:val="en-US"/>
        </w:rPr>
        <w:t>Journal of the Professional Association for Cactus Development</w:t>
      </w:r>
      <w:r w:rsidRPr="00B50684">
        <w:rPr>
          <w:noProof/>
          <w:szCs w:val="24"/>
          <w:lang w:val="en-US"/>
        </w:rPr>
        <w:t xml:space="preserve">, </w:t>
      </w:r>
      <w:r w:rsidRPr="00B50684">
        <w:rPr>
          <w:i/>
          <w:iCs/>
          <w:noProof/>
          <w:szCs w:val="24"/>
          <w:lang w:val="en-US"/>
        </w:rPr>
        <w:t>4</w:t>
      </w:r>
      <w:r w:rsidRPr="00B50684">
        <w:rPr>
          <w:noProof/>
          <w:szCs w:val="24"/>
          <w:lang w:val="en-US"/>
        </w:rPr>
        <w:t>, 3–10.</w:t>
      </w:r>
    </w:p>
    <w:p w14:paraId="7F86A430"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Samahy, S. K. El, Youssef, K. M., &amp; Moussa-Ayoub, T. E. (2009). Producing ice cream with concentrated cactus pear pulp: a preliminary study. </w:t>
      </w:r>
      <w:r w:rsidRPr="00B50684">
        <w:rPr>
          <w:i/>
          <w:iCs/>
          <w:noProof/>
          <w:szCs w:val="24"/>
          <w:lang w:val="en-US"/>
        </w:rPr>
        <w:t>Journal of the Professional Association for Cactus Development</w:t>
      </w:r>
      <w:r w:rsidRPr="00B50684">
        <w:rPr>
          <w:noProof/>
          <w:szCs w:val="24"/>
          <w:lang w:val="en-US"/>
        </w:rPr>
        <w:t xml:space="preserve">, </w:t>
      </w:r>
      <w:r w:rsidRPr="00B50684">
        <w:rPr>
          <w:i/>
          <w:iCs/>
          <w:noProof/>
          <w:szCs w:val="24"/>
          <w:lang w:val="en-US"/>
        </w:rPr>
        <w:t>11</w:t>
      </w:r>
      <w:r w:rsidRPr="00B50684">
        <w:rPr>
          <w:noProof/>
          <w:szCs w:val="24"/>
          <w:lang w:val="en-US"/>
        </w:rPr>
        <w:t>, 1–12.</w:t>
      </w:r>
    </w:p>
    <w:p w14:paraId="6B55C8DC"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Sanhueza, J., &amp; Nieto, S. (2003). Natural antioxidants in functional foods : from food safety to health benefits. </w:t>
      </w:r>
      <w:r w:rsidRPr="00D413A1">
        <w:rPr>
          <w:i/>
          <w:iCs/>
          <w:noProof/>
          <w:szCs w:val="24"/>
        </w:rPr>
        <w:t>Grasas Y Aceites</w:t>
      </w:r>
      <w:r w:rsidRPr="00D413A1">
        <w:rPr>
          <w:noProof/>
          <w:szCs w:val="24"/>
        </w:rPr>
        <w:t xml:space="preserve">, </w:t>
      </w:r>
      <w:r w:rsidRPr="00D413A1">
        <w:rPr>
          <w:i/>
          <w:iCs/>
          <w:noProof/>
          <w:szCs w:val="24"/>
        </w:rPr>
        <w:t>54</w:t>
      </w:r>
      <w:r w:rsidRPr="00D413A1">
        <w:rPr>
          <w:noProof/>
          <w:szCs w:val="24"/>
        </w:rPr>
        <w:t>(3), 295–303. http://doi.org/10.3989/gya.2003.v54.i3.245</w:t>
      </w:r>
    </w:p>
    <w:p w14:paraId="550790D6"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Schmandke, N. (2005). </w:t>
      </w:r>
      <w:r w:rsidRPr="00B50684">
        <w:rPr>
          <w:noProof/>
          <w:szCs w:val="24"/>
          <w:lang w:val="en-US"/>
        </w:rPr>
        <w:t xml:space="preserve">Betalains in beetroot and prickly pear fruit. </w:t>
      </w:r>
      <w:r w:rsidRPr="00D413A1">
        <w:rPr>
          <w:i/>
          <w:iCs/>
          <w:noProof/>
          <w:szCs w:val="24"/>
        </w:rPr>
        <w:t>Ernährungs Umschau</w:t>
      </w:r>
      <w:r w:rsidRPr="00D413A1">
        <w:rPr>
          <w:noProof/>
          <w:szCs w:val="24"/>
        </w:rPr>
        <w:t xml:space="preserve">, </w:t>
      </w:r>
      <w:r w:rsidRPr="00D413A1">
        <w:rPr>
          <w:i/>
          <w:iCs/>
          <w:noProof/>
          <w:szCs w:val="24"/>
        </w:rPr>
        <w:t>52</w:t>
      </w:r>
      <w:r w:rsidRPr="00D413A1">
        <w:rPr>
          <w:noProof/>
          <w:szCs w:val="24"/>
        </w:rPr>
        <w:t>(2), 56–58.</w:t>
      </w:r>
    </w:p>
    <w:p w14:paraId="1E4C57C2"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Semedo, A. (2012). </w:t>
      </w:r>
      <w:r w:rsidRPr="00D413A1">
        <w:rPr>
          <w:i/>
          <w:iCs/>
          <w:noProof/>
          <w:szCs w:val="24"/>
        </w:rPr>
        <w:t>Compostos bioativos de Opuntia ficus indica</w:t>
      </w:r>
      <w:r w:rsidRPr="00D413A1">
        <w:rPr>
          <w:noProof/>
          <w:szCs w:val="24"/>
        </w:rPr>
        <w:t xml:space="preserve">. </w:t>
      </w:r>
      <w:r w:rsidRPr="00B50684">
        <w:rPr>
          <w:noProof/>
          <w:szCs w:val="24"/>
          <w:lang w:val="en-US"/>
        </w:rPr>
        <w:t>Universidade de Lisboa.</w:t>
      </w:r>
    </w:p>
    <w:p w14:paraId="71CF642C"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Serrano, J., Puupponen-Pimia, R., Aura, A.-M., &amp; Soura-Calixto, F. (2009). tannins: current knowledge of food source intake, bioavailability and biological effects. </w:t>
      </w:r>
      <w:r w:rsidRPr="00B50684">
        <w:rPr>
          <w:i/>
          <w:iCs/>
          <w:noProof/>
          <w:szCs w:val="24"/>
          <w:lang w:val="en-US"/>
        </w:rPr>
        <w:t>Molecular Nutrition &amp; Food Research</w:t>
      </w:r>
      <w:r w:rsidRPr="00B50684">
        <w:rPr>
          <w:noProof/>
          <w:szCs w:val="24"/>
          <w:lang w:val="en-US"/>
        </w:rPr>
        <w:t xml:space="preserve">, </w:t>
      </w:r>
      <w:r w:rsidRPr="00B50684">
        <w:rPr>
          <w:i/>
          <w:iCs/>
          <w:noProof/>
          <w:szCs w:val="24"/>
          <w:lang w:val="en-US"/>
        </w:rPr>
        <w:t>53</w:t>
      </w:r>
      <w:r w:rsidRPr="00B50684">
        <w:rPr>
          <w:noProof/>
          <w:szCs w:val="24"/>
          <w:lang w:val="en-US"/>
        </w:rPr>
        <w:t>(2), 310–329. http://doi.org/10.1002/mnfr.200900039</w:t>
      </w:r>
    </w:p>
    <w:p w14:paraId="3C42DCC1"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Shashank, K., &amp; Abhay, K. (2013). Chemistry and Biological Activities of Flavonoids: An Overview. </w:t>
      </w:r>
      <w:r w:rsidRPr="00B50684">
        <w:rPr>
          <w:i/>
          <w:iCs/>
          <w:noProof/>
          <w:szCs w:val="24"/>
          <w:lang w:val="en-US"/>
        </w:rPr>
        <w:t>The Scientif World Journal</w:t>
      </w:r>
      <w:r w:rsidRPr="00B50684">
        <w:rPr>
          <w:noProof/>
          <w:szCs w:val="24"/>
          <w:lang w:val="en-US"/>
        </w:rPr>
        <w:t xml:space="preserve">, </w:t>
      </w:r>
      <w:r w:rsidRPr="00B50684">
        <w:rPr>
          <w:i/>
          <w:iCs/>
          <w:noProof/>
          <w:szCs w:val="24"/>
          <w:lang w:val="en-US"/>
        </w:rPr>
        <w:t>4</w:t>
      </w:r>
      <w:r w:rsidRPr="00B50684">
        <w:rPr>
          <w:noProof/>
          <w:szCs w:val="24"/>
          <w:lang w:val="en-US"/>
        </w:rPr>
        <w:t>(2), 32–48.</w:t>
      </w:r>
    </w:p>
    <w:p w14:paraId="6C1B99D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Shebis, Y., Iluz, D., Kinel-tahan, Y., Dubinsky, Z., &amp; Yehoshua, Y. (2013). Natural Antioxidants : Function and Sources. </w:t>
      </w:r>
      <w:r w:rsidRPr="00B50684">
        <w:rPr>
          <w:i/>
          <w:iCs/>
          <w:noProof/>
          <w:szCs w:val="24"/>
          <w:lang w:val="en-US"/>
        </w:rPr>
        <w:t>Food and Nutrition Sciences</w:t>
      </w:r>
      <w:r w:rsidRPr="00B50684">
        <w:rPr>
          <w:noProof/>
          <w:szCs w:val="24"/>
          <w:lang w:val="en-US"/>
        </w:rPr>
        <w:t xml:space="preserve">, </w:t>
      </w:r>
      <w:r w:rsidRPr="00B50684">
        <w:rPr>
          <w:i/>
          <w:iCs/>
          <w:noProof/>
          <w:szCs w:val="24"/>
          <w:lang w:val="en-US"/>
        </w:rPr>
        <w:t>4</w:t>
      </w:r>
      <w:r w:rsidRPr="00B50684">
        <w:rPr>
          <w:noProof/>
          <w:szCs w:val="24"/>
          <w:lang w:val="en-US"/>
        </w:rPr>
        <w:t>, 643–649. http://doi.org/10.4236/fns.2013.46083</w:t>
      </w:r>
    </w:p>
    <w:p w14:paraId="79E918F4"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Shoji, Y., &amp; Nakashimaa, H. (2004). Nutraceutics and delivery systems. </w:t>
      </w:r>
      <w:r w:rsidRPr="00B50684">
        <w:rPr>
          <w:i/>
          <w:iCs/>
          <w:noProof/>
          <w:szCs w:val="24"/>
          <w:lang w:val="en-US"/>
        </w:rPr>
        <w:t>Journal of Drugs Targeting</w:t>
      </w:r>
      <w:r w:rsidRPr="00B50684">
        <w:rPr>
          <w:noProof/>
          <w:szCs w:val="24"/>
          <w:lang w:val="en-US"/>
        </w:rPr>
        <w:t xml:space="preserve">, </w:t>
      </w:r>
      <w:r w:rsidRPr="00B50684">
        <w:rPr>
          <w:i/>
          <w:iCs/>
          <w:noProof/>
          <w:szCs w:val="24"/>
          <w:lang w:val="en-US"/>
        </w:rPr>
        <w:t>12</w:t>
      </w:r>
      <w:r w:rsidRPr="00B50684">
        <w:rPr>
          <w:noProof/>
          <w:szCs w:val="24"/>
          <w:lang w:val="en-US"/>
        </w:rPr>
        <w:t>(6), 385–391. http://doi.org/10.1080/10611860400003817</w:t>
      </w:r>
    </w:p>
    <w:p w14:paraId="7E6F38A8"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Soares, S. E. (2002). </w:t>
      </w:r>
      <w:r w:rsidRPr="00D413A1">
        <w:rPr>
          <w:noProof/>
          <w:szCs w:val="24"/>
        </w:rPr>
        <w:t xml:space="preserve">Phenolic acids as antioxidants. </w:t>
      </w:r>
      <w:r w:rsidRPr="00D413A1">
        <w:rPr>
          <w:i/>
          <w:iCs/>
          <w:noProof/>
          <w:szCs w:val="24"/>
        </w:rPr>
        <w:t>Revista de Nutrição</w:t>
      </w:r>
      <w:r w:rsidRPr="00D413A1">
        <w:rPr>
          <w:noProof/>
          <w:szCs w:val="24"/>
        </w:rPr>
        <w:t xml:space="preserve">, </w:t>
      </w:r>
      <w:r w:rsidRPr="00D413A1">
        <w:rPr>
          <w:i/>
          <w:iCs/>
          <w:noProof/>
          <w:szCs w:val="24"/>
        </w:rPr>
        <w:t>15</w:t>
      </w:r>
      <w:r w:rsidRPr="00D413A1">
        <w:rPr>
          <w:noProof/>
          <w:szCs w:val="24"/>
        </w:rPr>
        <w:t>(1), 71–81. http://doi.org/10.1590/S1415-52732002000100008</w:t>
      </w:r>
    </w:p>
    <w:p w14:paraId="0BDD7427"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Soldado, A. D. B. (2014). </w:t>
      </w:r>
      <w:r w:rsidRPr="00D413A1">
        <w:rPr>
          <w:i/>
          <w:iCs/>
          <w:noProof/>
          <w:szCs w:val="24"/>
        </w:rPr>
        <w:t>Desenvolvimento de metodologia para a conservação de figo da índia em IV gama</w:t>
      </w:r>
      <w:r w:rsidRPr="00D413A1">
        <w:rPr>
          <w:noProof/>
          <w:szCs w:val="24"/>
        </w:rPr>
        <w:t>. Universidade Nova de Lisboa.</w:t>
      </w:r>
    </w:p>
    <w:p w14:paraId="49BDBE08"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lastRenderedPageBreak/>
        <w:t xml:space="preserve">Sousa, C. M. D. M., Rocha, H., Vieira-jr, G. M., Ayres, M. C. C., Costa, L. S., Araújo, D. S., … </w:t>
      </w:r>
      <w:r w:rsidRPr="00B50684">
        <w:rPr>
          <w:noProof/>
          <w:szCs w:val="24"/>
          <w:lang w:val="en-US"/>
        </w:rPr>
        <w:t xml:space="preserve">Moore, M. H. E. (2007, September). Total phenolics and antioxidant activity of five medicinal plants. </w:t>
      </w:r>
      <w:r w:rsidRPr="00D413A1">
        <w:rPr>
          <w:i/>
          <w:iCs/>
          <w:noProof/>
          <w:szCs w:val="24"/>
        </w:rPr>
        <w:t>Quim. Nova</w:t>
      </w:r>
      <w:r w:rsidRPr="00D413A1">
        <w:rPr>
          <w:noProof/>
          <w:szCs w:val="24"/>
        </w:rPr>
        <w:t xml:space="preserve">, </w:t>
      </w:r>
      <w:r w:rsidRPr="00D413A1">
        <w:rPr>
          <w:i/>
          <w:iCs/>
          <w:noProof/>
          <w:szCs w:val="24"/>
        </w:rPr>
        <w:t>30</w:t>
      </w:r>
      <w:r w:rsidRPr="00D413A1">
        <w:rPr>
          <w:noProof/>
          <w:szCs w:val="24"/>
        </w:rPr>
        <w:t>(2), 351–355.</w:t>
      </w:r>
    </w:p>
    <w:p w14:paraId="0F3005C9"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Souza, R. L. A., &amp; Correia, R. T. P. (2013). </w:t>
      </w:r>
      <w:r w:rsidRPr="00B50684">
        <w:rPr>
          <w:noProof/>
          <w:szCs w:val="24"/>
          <w:lang w:val="en-US"/>
        </w:rPr>
        <w:t xml:space="preserve">Physicochemical and bioactive characterization of the Indian Fig Cactus ( Opuntia ficus-indica ) fruit and mesquite ( Prosopis juliflora ) flour and sensory assessment of derived products. </w:t>
      </w:r>
      <w:r w:rsidRPr="00B50684">
        <w:rPr>
          <w:i/>
          <w:iCs/>
          <w:noProof/>
          <w:szCs w:val="24"/>
          <w:lang w:val="en-US"/>
        </w:rPr>
        <w:t>Braz Food Nutr</w:t>
      </w:r>
      <w:r w:rsidRPr="00B50684">
        <w:rPr>
          <w:noProof/>
          <w:szCs w:val="24"/>
          <w:lang w:val="en-US"/>
        </w:rPr>
        <w:t xml:space="preserve">, </w:t>
      </w:r>
      <w:r w:rsidRPr="00B50684">
        <w:rPr>
          <w:i/>
          <w:iCs/>
          <w:noProof/>
          <w:szCs w:val="24"/>
          <w:lang w:val="en-US"/>
        </w:rPr>
        <w:t>24</w:t>
      </w:r>
      <w:r w:rsidRPr="00B50684">
        <w:rPr>
          <w:noProof/>
          <w:szCs w:val="24"/>
          <w:lang w:val="en-US"/>
        </w:rPr>
        <w:t>(4), 369–377.</w:t>
      </w:r>
    </w:p>
    <w:p w14:paraId="405AB16F"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Stintzing, F. C., Herbach, K. M., Mosshammer, M. R., Carle, R., Yi, W., Sellappan, S., … Felker, P. (2005). Color, betalain pattern, and antioxidant properties of cactus pear (Opuntia spp.) clones. </w:t>
      </w:r>
      <w:r w:rsidRPr="00B50684">
        <w:rPr>
          <w:i/>
          <w:iCs/>
          <w:noProof/>
          <w:szCs w:val="24"/>
          <w:lang w:val="en-US"/>
        </w:rPr>
        <w:t>Journal of Agricultural and Food Chemistry</w:t>
      </w:r>
      <w:r w:rsidRPr="00B50684">
        <w:rPr>
          <w:noProof/>
          <w:szCs w:val="24"/>
          <w:lang w:val="en-US"/>
        </w:rPr>
        <w:t xml:space="preserve">, </w:t>
      </w:r>
      <w:r w:rsidRPr="00B50684">
        <w:rPr>
          <w:i/>
          <w:iCs/>
          <w:noProof/>
          <w:szCs w:val="24"/>
          <w:lang w:val="en-US"/>
        </w:rPr>
        <w:t>53</w:t>
      </w:r>
      <w:r w:rsidRPr="00B50684">
        <w:rPr>
          <w:noProof/>
          <w:szCs w:val="24"/>
          <w:lang w:val="en-US"/>
        </w:rPr>
        <w:t>(2), 442–451. http://doi.org/10.1021/jf048751y</w:t>
      </w:r>
    </w:p>
    <w:p w14:paraId="7255B8C0"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Teles, F. F. F., Price, R. L., Frank Whiting, &amp; Reid, B. L. (1994). Circadian variation of non-volatile organic acids in the prickly pear (opuntia ficus indica L.). </w:t>
      </w:r>
      <w:r w:rsidRPr="00D413A1">
        <w:rPr>
          <w:i/>
          <w:iCs/>
          <w:noProof/>
          <w:szCs w:val="24"/>
        </w:rPr>
        <w:t>Revista Ceres</w:t>
      </w:r>
      <w:r w:rsidRPr="00D413A1">
        <w:rPr>
          <w:noProof/>
          <w:szCs w:val="24"/>
        </w:rPr>
        <w:t xml:space="preserve">, </w:t>
      </w:r>
      <w:r w:rsidRPr="00D413A1">
        <w:rPr>
          <w:i/>
          <w:iCs/>
          <w:noProof/>
          <w:szCs w:val="24"/>
        </w:rPr>
        <w:t>61</w:t>
      </w:r>
      <w:r w:rsidRPr="00D413A1">
        <w:rPr>
          <w:noProof/>
          <w:szCs w:val="24"/>
        </w:rPr>
        <w:t>(238), 614–622.</w:t>
      </w:r>
    </w:p>
    <w:p w14:paraId="5D9D9E40"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Tesoriere, L., Allegra, M., Butera, D., &amp; Livrea, M. a. (2004). </w:t>
      </w:r>
      <w:r w:rsidRPr="00B50684">
        <w:rPr>
          <w:noProof/>
          <w:szCs w:val="24"/>
          <w:lang w:val="en-US"/>
        </w:rPr>
        <w:t xml:space="preserve">Absorption, excretion, and distribution of dietary antioxidant betalains in LDLs: Potential health effects of betalains in humans. </w:t>
      </w:r>
      <w:r w:rsidRPr="00D413A1">
        <w:rPr>
          <w:i/>
          <w:iCs/>
          <w:noProof/>
          <w:szCs w:val="24"/>
        </w:rPr>
        <w:t>American Journal of Clinical Nutrition</w:t>
      </w:r>
      <w:r w:rsidRPr="00D413A1">
        <w:rPr>
          <w:noProof/>
          <w:szCs w:val="24"/>
        </w:rPr>
        <w:t xml:space="preserve">, </w:t>
      </w:r>
      <w:r w:rsidRPr="00D413A1">
        <w:rPr>
          <w:i/>
          <w:iCs/>
          <w:noProof/>
          <w:szCs w:val="24"/>
        </w:rPr>
        <w:t>80</w:t>
      </w:r>
      <w:r w:rsidRPr="00D413A1">
        <w:rPr>
          <w:noProof/>
          <w:szCs w:val="24"/>
        </w:rPr>
        <w:t>(4), 941–945.</w:t>
      </w:r>
    </w:p>
    <w:p w14:paraId="02CCEAE0"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D413A1">
        <w:rPr>
          <w:noProof/>
          <w:szCs w:val="24"/>
        </w:rPr>
        <w:t xml:space="preserve">Valsechi, O., &amp; Mitidieri, J. (2007). O brix na determinação da riqueza em açucares do mamão como auxiliar no melhoramento do mamoeiro (carica papaya L.). </w:t>
      </w:r>
      <w:r w:rsidRPr="00D413A1">
        <w:rPr>
          <w:i/>
          <w:iCs/>
          <w:noProof/>
          <w:szCs w:val="24"/>
        </w:rPr>
        <w:t>Anais Da E. S. A. “Luiz de Queiroz,”</w:t>
      </w:r>
      <w:r w:rsidRPr="00D413A1">
        <w:rPr>
          <w:noProof/>
          <w:szCs w:val="24"/>
        </w:rPr>
        <w:t xml:space="preserve"> (September), 86–92.</w:t>
      </w:r>
    </w:p>
    <w:p w14:paraId="0A5B3CE4"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Vasconcelos, S. M. L., Goulart, M. O. F., Moura, J. B. de F., Kubota, L. T., Manfredini, V., &amp; Benfato, M. da S. (2007). </w:t>
      </w:r>
      <w:r w:rsidRPr="00B50684">
        <w:rPr>
          <w:noProof/>
          <w:szCs w:val="24"/>
          <w:lang w:val="en-US"/>
        </w:rPr>
        <w:t xml:space="preserve">Reactive oxygen and nitrogen species, antioxidants and markers of oxidative damege in human blood: main analytical methods for their determination. </w:t>
      </w:r>
      <w:r w:rsidRPr="00B50684">
        <w:rPr>
          <w:i/>
          <w:iCs/>
          <w:noProof/>
          <w:szCs w:val="24"/>
          <w:lang w:val="en-US"/>
        </w:rPr>
        <w:t>Quim. Nova</w:t>
      </w:r>
      <w:r w:rsidRPr="00B50684">
        <w:rPr>
          <w:noProof/>
          <w:szCs w:val="24"/>
          <w:lang w:val="en-US"/>
        </w:rPr>
        <w:t xml:space="preserve">, </w:t>
      </w:r>
      <w:r w:rsidRPr="00B50684">
        <w:rPr>
          <w:i/>
          <w:iCs/>
          <w:noProof/>
          <w:szCs w:val="24"/>
          <w:lang w:val="en-US"/>
        </w:rPr>
        <w:t>30</w:t>
      </w:r>
      <w:r w:rsidRPr="00B50684">
        <w:rPr>
          <w:noProof/>
          <w:szCs w:val="24"/>
          <w:lang w:val="en-US"/>
        </w:rPr>
        <w:t>(5), 1323–1338.</w:t>
      </w:r>
    </w:p>
    <w:p w14:paraId="693B9C11" w14:textId="77777777" w:rsidR="00D413A1" w:rsidRPr="00D413A1" w:rsidRDefault="00D413A1" w:rsidP="00D413A1">
      <w:pPr>
        <w:widowControl w:val="0"/>
        <w:autoSpaceDE w:val="0"/>
        <w:autoSpaceDN w:val="0"/>
        <w:adjustRightInd w:val="0"/>
        <w:spacing w:after="0" w:line="360" w:lineRule="auto"/>
        <w:ind w:left="480" w:hanging="480"/>
        <w:rPr>
          <w:noProof/>
          <w:szCs w:val="24"/>
        </w:rPr>
      </w:pPr>
      <w:r w:rsidRPr="00B50684">
        <w:rPr>
          <w:noProof/>
          <w:szCs w:val="24"/>
          <w:lang w:val="en-US"/>
        </w:rPr>
        <w:t xml:space="preserve">Vermerris, W., &amp; Nicholson, R. (2007). </w:t>
      </w:r>
      <w:r w:rsidRPr="00B50684">
        <w:rPr>
          <w:i/>
          <w:iCs/>
          <w:noProof/>
          <w:szCs w:val="24"/>
          <w:lang w:val="en-US"/>
        </w:rPr>
        <w:t>Phenolic compound biochemistry</w:t>
      </w:r>
      <w:r w:rsidRPr="00B50684">
        <w:rPr>
          <w:noProof/>
          <w:szCs w:val="24"/>
          <w:lang w:val="en-US"/>
        </w:rPr>
        <w:t xml:space="preserve"> (2nd ed.). </w:t>
      </w:r>
      <w:r w:rsidRPr="00D413A1">
        <w:rPr>
          <w:noProof/>
          <w:szCs w:val="24"/>
        </w:rPr>
        <w:t>West Lafayette: Springer Science &amp; Business Media.</w:t>
      </w:r>
    </w:p>
    <w:p w14:paraId="2EDF3393"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t xml:space="preserve">Vieira, L. M., Sousa, M. S. B. S., Mancini-filho, J., &amp; Lima, A. (2011). Fenólicos totais e capacidade antioxante in vitro de polpa de frutas tropicais. </w:t>
      </w:r>
      <w:r w:rsidRPr="00B50684">
        <w:rPr>
          <w:i/>
          <w:iCs/>
          <w:noProof/>
          <w:szCs w:val="24"/>
          <w:lang w:val="en-US"/>
        </w:rPr>
        <w:t>Rev. Bras. Frutic.</w:t>
      </w:r>
      <w:r w:rsidRPr="00B50684">
        <w:rPr>
          <w:noProof/>
          <w:szCs w:val="24"/>
          <w:lang w:val="en-US"/>
        </w:rPr>
        <w:t xml:space="preserve">, </w:t>
      </w:r>
      <w:r w:rsidRPr="00B50684">
        <w:rPr>
          <w:i/>
          <w:iCs/>
          <w:noProof/>
          <w:szCs w:val="24"/>
          <w:lang w:val="en-US"/>
        </w:rPr>
        <w:t>33</w:t>
      </w:r>
      <w:r w:rsidRPr="00B50684">
        <w:rPr>
          <w:noProof/>
          <w:szCs w:val="24"/>
          <w:lang w:val="en-US"/>
        </w:rPr>
        <w:t>(3), 888–897.</w:t>
      </w:r>
    </w:p>
    <w:p w14:paraId="43CA5F2D"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Vilà, M. (2006, October). Opuntia ficus-indica. Retrieved May 2, 2016, from http://www.europe-aliens.org/speciesFactsheet.do?speciesId=7300</w:t>
      </w:r>
    </w:p>
    <w:p w14:paraId="45B213D8"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D413A1">
        <w:rPr>
          <w:noProof/>
          <w:szCs w:val="24"/>
        </w:rPr>
        <w:lastRenderedPageBreak/>
        <w:t xml:space="preserve">Wilson, E. (n.d.). Betalaínas: colorantes naturales con actividad antioxidante. </w:t>
      </w:r>
      <w:r w:rsidRPr="00B50684">
        <w:rPr>
          <w:noProof/>
          <w:szCs w:val="24"/>
          <w:lang w:val="en-US"/>
        </w:rPr>
        <w:t>Retrieved April 1, 2017, from http://www.profitocoop.com.ar/articulos/Betala%EDnas.pdf</w:t>
      </w:r>
    </w:p>
    <w:p w14:paraId="5BB01EC8" w14:textId="77777777" w:rsidR="00D413A1" w:rsidRPr="00B50684" w:rsidRDefault="00D413A1" w:rsidP="00D413A1">
      <w:pPr>
        <w:widowControl w:val="0"/>
        <w:autoSpaceDE w:val="0"/>
        <w:autoSpaceDN w:val="0"/>
        <w:adjustRightInd w:val="0"/>
        <w:spacing w:after="0" w:line="360" w:lineRule="auto"/>
        <w:ind w:left="480" w:hanging="480"/>
        <w:rPr>
          <w:noProof/>
          <w:szCs w:val="24"/>
          <w:lang w:val="en-US"/>
        </w:rPr>
      </w:pPr>
      <w:r w:rsidRPr="00B50684">
        <w:rPr>
          <w:noProof/>
          <w:szCs w:val="24"/>
          <w:lang w:val="en-US"/>
        </w:rPr>
        <w:t xml:space="preserve">Yeddes, N., Chérif, J., Guyot, S., Sotin, H., &amp; Ayadi, M. (2013). Comparative Study of Antioxidant Power, Polyphenols, Flavonoids and Betacyanins of the Peel and Pulp of Three Tunisian Opuntia Forms. </w:t>
      </w:r>
      <w:r w:rsidRPr="00B50684">
        <w:rPr>
          <w:i/>
          <w:iCs/>
          <w:noProof/>
          <w:szCs w:val="24"/>
          <w:lang w:val="en-US"/>
        </w:rPr>
        <w:t>Antioxidants</w:t>
      </w:r>
      <w:r w:rsidRPr="00B50684">
        <w:rPr>
          <w:noProof/>
          <w:szCs w:val="24"/>
          <w:lang w:val="en-US"/>
        </w:rPr>
        <w:t xml:space="preserve">, </w:t>
      </w:r>
      <w:r w:rsidRPr="00B50684">
        <w:rPr>
          <w:i/>
          <w:iCs/>
          <w:noProof/>
          <w:szCs w:val="24"/>
          <w:lang w:val="en-US"/>
        </w:rPr>
        <w:t>2</w:t>
      </w:r>
      <w:r w:rsidRPr="00B50684">
        <w:rPr>
          <w:noProof/>
          <w:szCs w:val="24"/>
          <w:lang w:val="en-US"/>
        </w:rPr>
        <w:t>(2), 37–51. http://doi.org/10.3390/antiox2020037</w:t>
      </w:r>
    </w:p>
    <w:p w14:paraId="0E99CC48" w14:textId="77777777" w:rsidR="00D413A1" w:rsidRPr="00D413A1" w:rsidRDefault="00D413A1" w:rsidP="00D413A1">
      <w:pPr>
        <w:widowControl w:val="0"/>
        <w:autoSpaceDE w:val="0"/>
        <w:autoSpaceDN w:val="0"/>
        <w:adjustRightInd w:val="0"/>
        <w:spacing w:after="0" w:line="360" w:lineRule="auto"/>
        <w:ind w:left="480" w:hanging="480"/>
        <w:rPr>
          <w:noProof/>
        </w:rPr>
      </w:pPr>
      <w:r w:rsidRPr="00B50684">
        <w:rPr>
          <w:noProof/>
          <w:szCs w:val="24"/>
          <w:lang w:val="en-US"/>
        </w:rPr>
        <w:t xml:space="preserve">Young, I. S., &amp; Woodside, J. V. (2001). Antioxidants in health and disease. </w:t>
      </w:r>
      <w:r w:rsidRPr="00D413A1">
        <w:rPr>
          <w:i/>
          <w:iCs/>
          <w:noProof/>
          <w:szCs w:val="24"/>
        </w:rPr>
        <w:t>Journal of Clinical Pathology</w:t>
      </w:r>
      <w:r w:rsidRPr="00D413A1">
        <w:rPr>
          <w:noProof/>
          <w:szCs w:val="24"/>
        </w:rPr>
        <w:t xml:space="preserve">, </w:t>
      </w:r>
      <w:r w:rsidRPr="00D413A1">
        <w:rPr>
          <w:i/>
          <w:iCs/>
          <w:noProof/>
          <w:szCs w:val="24"/>
        </w:rPr>
        <w:t>54</w:t>
      </w:r>
      <w:r w:rsidRPr="00D413A1">
        <w:rPr>
          <w:noProof/>
          <w:szCs w:val="24"/>
        </w:rPr>
        <w:t>(3), 176–186. http://doi.org/10.1136/jcp.54.3.176</w:t>
      </w:r>
    </w:p>
    <w:p w14:paraId="65CFB4C4" w14:textId="77777777" w:rsidR="0044264A" w:rsidRDefault="0044264A" w:rsidP="006A36D8">
      <w:pPr>
        <w:spacing w:line="360" w:lineRule="auto"/>
        <w:ind w:left="0" w:right="-1" w:firstLine="0"/>
        <w:rPr>
          <w:color w:val="auto"/>
        </w:rPr>
      </w:pPr>
      <w:r>
        <w:rPr>
          <w:color w:val="auto"/>
        </w:rPr>
        <w:fldChar w:fldCharType="end"/>
      </w:r>
    </w:p>
    <w:p w14:paraId="6C56B64A" w14:textId="77777777" w:rsidR="0044264A" w:rsidRDefault="0044264A" w:rsidP="00542CFE">
      <w:pPr>
        <w:spacing w:line="360" w:lineRule="auto"/>
        <w:ind w:left="0" w:right="-1" w:firstLine="0"/>
        <w:rPr>
          <w:color w:val="auto"/>
        </w:rPr>
      </w:pPr>
    </w:p>
    <w:p w14:paraId="559C3516" w14:textId="77777777" w:rsidR="0044264A" w:rsidRDefault="0044264A" w:rsidP="00542CFE">
      <w:pPr>
        <w:spacing w:line="360" w:lineRule="auto"/>
        <w:ind w:left="0" w:right="-1" w:firstLine="0"/>
        <w:rPr>
          <w:color w:val="auto"/>
        </w:rPr>
      </w:pPr>
    </w:p>
    <w:p w14:paraId="64AD5EBD" w14:textId="77777777" w:rsidR="0044264A" w:rsidRDefault="0044264A" w:rsidP="00542CFE">
      <w:pPr>
        <w:spacing w:line="360" w:lineRule="auto"/>
        <w:ind w:left="0" w:right="-1" w:firstLine="0"/>
        <w:rPr>
          <w:color w:val="auto"/>
        </w:rPr>
      </w:pPr>
    </w:p>
    <w:p w14:paraId="6A185904" w14:textId="77777777" w:rsidR="0044264A" w:rsidRDefault="0044264A" w:rsidP="00542CFE">
      <w:pPr>
        <w:spacing w:line="360" w:lineRule="auto"/>
        <w:ind w:left="0" w:right="-1" w:firstLine="0"/>
        <w:rPr>
          <w:color w:val="auto"/>
        </w:rPr>
      </w:pPr>
    </w:p>
    <w:p w14:paraId="431BDEEC" w14:textId="77777777" w:rsidR="00542CFE" w:rsidRDefault="00542CFE" w:rsidP="00542CFE">
      <w:pPr>
        <w:spacing w:line="360" w:lineRule="auto"/>
        <w:ind w:left="0" w:right="-1" w:firstLine="0"/>
        <w:rPr>
          <w:color w:val="auto"/>
        </w:rPr>
      </w:pPr>
    </w:p>
    <w:p w14:paraId="1F43CFDD" w14:textId="77777777" w:rsidR="00542CFE" w:rsidRDefault="00542CFE" w:rsidP="00542CFE">
      <w:pPr>
        <w:spacing w:line="360" w:lineRule="auto"/>
        <w:ind w:left="0" w:right="-1" w:firstLine="0"/>
        <w:rPr>
          <w:color w:val="auto"/>
        </w:rPr>
      </w:pPr>
    </w:p>
    <w:p w14:paraId="078A19BF" w14:textId="77777777" w:rsidR="00542CFE" w:rsidRDefault="00542CFE" w:rsidP="00542CFE">
      <w:pPr>
        <w:spacing w:line="360" w:lineRule="auto"/>
        <w:ind w:left="0" w:right="-1" w:firstLine="0"/>
        <w:rPr>
          <w:color w:val="auto"/>
        </w:rPr>
      </w:pPr>
    </w:p>
    <w:p w14:paraId="580A5A4D" w14:textId="77777777" w:rsidR="00542CFE" w:rsidRDefault="00542CFE" w:rsidP="00542CFE">
      <w:pPr>
        <w:spacing w:line="360" w:lineRule="auto"/>
        <w:ind w:left="0" w:right="-1" w:firstLine="0"/>
        <w:rPr>
          <w:color w:val="auto"/>
        </w:rPr>
      </w:pPr>
    </w:p>
    <w:p w14:paraId="2037125E" w14:textId="77777777" w:rsidR="00542CFE" w:rsidRDefault="00542CFE" w:rsidP="00542CFE">
      <w:pPr>
        <w:spacing w:line="360" w:lineRule="auto"/>
        <w:ind w:left="0" w:right="-1" w:firstLine="0"/>
        <w:rPr>
          <w:color w:val="auto"/>
        </w:rPr>
      </w:pPr>
    </w:p>
    <w:p w14:paraId="7BC8642E" w14:textId="77777777" w:rsidR="00542CFE" w:rsidRDefault="00542CFE" w:rsidP="00542CFE">
      <w:pPr>
        <w:spacing w:line="360" w:lineRule="auto"/>
        <w:ind w:left="0" w:right="-1" w:firstLine="0"/>
        <w:rPr>
          <w:color w:val="auto"/>
        </w:rPr>
      </w:pPr>
    </w:p>
    <w:p w14:paraId="51B83637" w14:textId="77777777" w:rsidR="00542CFE" w:rsidRDefault="00542CFE" w:rsidP="00542CFE">
      <w:pPr>
        <w:spacing w:line="360" w:lineRule="auto"/>
        <w:ind w:left="0" w:right="-1" w:firstLine="0"/>
        <w:rPr>
          <w:color w:val="auto"/>
        </w:rPr>
      </w:pPr>
    </w:p>
    <w:p w14:paraId="2304BF6A" w14:textId="77777777" w:rsidR="00542CFE" w:rsidRDefault="00542CFE" w:rsidP="0044264A">
      <w:pPr>
        <w:spacing w:line="360" w:lineRule="auto"/>
        <w:ind w:left="0" w:right="-1" w:firstLine="0"/>
        <w:rPr>
          <w:color w:val="auto"/>
        </w:rPr>
      </w:pPr>
    </w:p>
    <w:p w14:paraId="082FFA69" w14:textId="77777777" w:rsidR="00542CFE" w:rsidRDefault="00542CFE" w:rsidP="0044264A">
      <w:pPr>
        <w:spacing w:line="360" w:lineRule="auto"/>
        <w:ind w:left="0" w:right="-1" w:firstLine="0"/>
        <w:rPr>
          <w:color w:val="auto"/>
        </w:rPr>
      </w:pPr>
    </w:p>
    <w:p w14:paraId="33A64AC3" w14:textId="77777777" w:rsidR="0044264A" w:rsidRDefault="0044264A" w:rsidP="0044264A">
      <w:pPr>
        <w:spacing w:line="360" w:lineRule="auto"/>
        <w:ind w:left="0" w:right="-1" w:firstLine="0"/>
        <w:rPr>
          <w:color w:val="auto"/>
        </w:rPr>
      </w:pPr>
    </w:p>
    <w:p w14:paraId="0D8EF2A9" w14:textId="77777777" w:rsidR="00542CFE" w:rsidRDefault="00542CFE" w:rsidP="0044264A">
      <w:pPr>
        <w:spacing w:line="360" w:lineRule="auto"/>
        <w:ind w:left="0" w:right="-1" w:firstLine="0"/>
        <w:rPr>
          <w:color w:val="auto"/>
        </w:rPr>
      </w:pPr>
    </w:p>
    <w:p w14:paraId="3FFFEC60" w14:textId="77777777" w:rsidR="00542CFE" w:rsidRDefault="00542CFE" w:rsidP="0044264A">
      <w:pPr>
        <w:spacing w:line="360" w:lineRule="auto"/>
        <w:ind w:left="0" w:right="-1" w:firstLine="0"/>
        <w:rPr>
          <w:color w:val="auto"/>
        </w:rPr>
      </w:pPr>
    </w:p>
    <w:p w14:paraId="581BF471" w14:textId="77777777" w:rsidR="00542CFE" w:rsidRDefault="00542CFE" w:rsidP="0044264A">
      <w:pPr>
        <w:spacing w:line="360" w:lineRule="auto"/>
        <w:ind w:left="0" w:right="-1" w:firstLine="0"/>
        <w:rPr>
          <w:color w:val="auto"/>
        </w:rPr>
      </w:pPr>
    </w:p>
    <w:p w14:paraId="437D7D86" w14:textId="77777777" w:rsidR="00542CFE" w:rsidRDefault="00542CFE" w:rsidP="0044264A">
      <w:pPr>
        <w:spacing w:line="360" w:lineRule="auto"/>
        <w:ind w:left="0" w:right="-1" w:firstLine="0"/>
        <w:rPr>
          <w:color w:val="auto"/>
        </w:rPr>
      </w:pPr>
    </w:p>
    <w:p w14:paraId="40455BCA" w14:textId="77777777" w:rsidR="00542CFE" w:rsidRDefault="00542CFE" w:rsidP="0044264A">
      <w:pPr>
        <w:spacing w:line="360" w:lineRule="auto"/>
        <w:ind w:left="0" w:right="-1" w:firstLine="0"/>
        <w:rPr>
          <w:color w:val="auto"/>
        </w:rPr>
      </w:pPr>
    </w:p>
    <w:p w14:paraId="3FDF339E" w14:textId="77777777" w:rsidR="00542CFE" w:rsidRDefault="00542CFE" w:rsidP="0044264A">
      <w:pPr>
        <w:spacing w:line="360" w:lineRule="auto"/>
        <w:ind w:left="0" w:right="-1" w:firstLine="0"/>
        <w:rPr>
          <w:color w:val="auto"/>
        </w:rPr>
      </w:pPr>
    </w:p>
    <w:p w14:paraId="70CC0911" w14:textId="7C8CAB45" w:rsidR="00542CFE" w:rsidRDefault="00542CFE" w:rsidP="0044264A">
      <w:pPr>
        <w:spacing w:line="360" w:lineRule="auto"/>
        <w:ind w:left="0" w:right="-1" w:firstLine="0"/>
        <w:rPr>
          <w:color w:val="auto"/>
        </w:rPr>
      </w:pPr>
    </w:p>
    <w:p w14:paraId="3B9377C5" w14:textId="77777777" w:rsidR="008E4A6F" w:rsidRDefault="008E4A6F" w:rsidP="0044264A">
      <w:pPr>
        <w:spacing w:line="360" w:lineRule="auto"/>
        <w:ind w:left="0" w:right="-1" w:firstLine="0"/>
        <w:rPr>
          <w:color w:val="auto"/>
        </w:rPr>
      </w:pPr>
    </w:p>
    <w:p w14:paraId="5E84B4C1" w14:textId="77777777" w:rsidR="00542CFE" w:rsidRDefault="00542CFE" w:rsidP="0044264A">
      <w:pPr>
        <w:spacing w:line="360" w:lineRule="auto"/>
        <w:ind w:left="0" w:right="-1" w:firstLine="0"/>
        <w:rPr>
          <w:color w:val="auto"/>
        </w:rPr>
      </w:pPr>
    </w:p>
    <w:p w14:paraId="24173964" w14:textId="77777777" w:rsidR="00542CFE" w:rsidRDefault="00542CFE" w:rsidP="0044264A">
      <w:pPr>
        <w:spacing w:line="360" w:lineRule="auto"/>
        <w:ind w:left="0" w:right="-1" w:firstLine="0"/>
        <w:rPr>
          <w:color w:val="auto"/>
        </w:rPr>
      </w:pPr>
    </w:p>
    <w:p w14:paraId="2A016CAC" w14:textId="77777777" w:rsidR="0044264A" w:rsidRPr="0044264A" w:rsidRDefault="0044264A" w:rsidP="006C2067">
      <w:pPr>
        <w:keepNext/>
        <w:keepLines/>
        <w:spacing w:before="240" w:after="0" w:line="240" w:lineRule="auto"/>
        <w:ind w:left="0" w:firstLine="0"/>
        <w:contextualSpacing/>
        <w:outlineLvl w:val="0"/>
        <w:rPr>
          <w:rFonts w:eastAsiaTheme="minorHAnsi" w:cstheme="majorBidi"/>
          <w:color w:val="2E74B5" w:themeColor="accent1" w:themeShade="BF"/>
          <w:spacing w:val="-10"/>
          <w:kern w:val="28"/>
          <w:sz w:val="32"/>
          <w:szCs w:val="32"/>
          <w:lang w:eastAsia="en-US"/>
        </w:rPr>
      </w:pPr>
      <w:bookmarkStart w:id="336" w:name="_Toc479154881"/>
      <w:r w:rsidRPr="0044264A">
        <w:rPr>
          <w:rFonts w:eastAsiaTheme="minorHAnsi" w:cstheme="majorBidi"/>
          <w:color w:val="auto"/>
          <w:spacing w:val="-10"/>
          <w:kern w:val="28"/>
          <w:sz w:val="32"/>
          <w:szCs w:val="32"/>
          <w:lang w:eastAsia="en-US"/>
        </w:rPr>
        <w:t>7. Anexos</w:t>
      </w:r>
      <w:bookmarkEnd w:id="336"/>
    </w:p>
    <w:p w14:paraId="13B2D6EE" w14:textId="77777777" w:rsidR="0044264A" w:rsidRPr="0044264A" w:rsidRDefault="0044264A" w:rsidP="0044264A">
      <w:pPr>
        <w:rPr>
          <w:rFonts w:eastAsiaTheme="minorHAnsi"/>
          <w:color w:val="auto"/>
          <w:szCs w:val="24"/>
          <w:lang w:eastAsia="en-US"/>
        </w:rPr>
      </w:pPr>
    </w:p>
    <w:p w14:paraId="4EEC372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Anexo I – Variação dos parâmetros gerais de qualidade</w:t>
      </w:r>
    </w:p>
    <w:p w14:paraId="570C08EA"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3BED2A0"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 – Variação do diâmetro para as diferentes cultivares</w:t>
      </w:r>
    </w:p>
    <w:p w14:paraId="4AA300E4"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mc:AlternateContent>
          <mc:Choice Requires="wps">
            <w:drawing>
              <wp:anchor distT="45720" distB="45720" distL="114300" distR="114300" simplePos="0" relativeHeight="251659264" behindDoc="0" locked="0" layoutInCell="1" allowOverlap="1" wp14:anchorId="1BF3DE0C" wp14:editId="759A29BA">
                <wp:simplePos x="0" y="0"/>
                <wp:positionH relativeFrom="column">
                  <wp:posOffset>4415790</wp:posOffset>
                </wp:positionH>
                <wp:positionV relativeFrom="paragraph">
                  <wp:posOffset>233045</wp:posOffset>
                </wp:positionV>
                <wp:extent cx="1676400" cy="953770"/>
                <wp:effectExtent l="0" t="0" r="0" b="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953770"/>
                        </a:xfrm>
                        <a:prstGeom prst="rect">
                          <a:avLst/>
                        </a:prstGeom>
                        <a:solidFill>
                          <a:srgbClr val="FFFFFF"/>
                        </a:solidFill>
                        <a:ln w="9525">
                          <a:noFill/>
                          <a:miter lim="800000"/>
                          <a:headEnd/>
                          <a:tailEnd/>
                        </a:ln>
                      </wps:spPr>
                      <wps:txbx>
                        <w:txbxContent>
                          <w:p w14:paraId="40FA7542"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laranja</w:t>
                            </w:r>
                          </w:p>
                          <w:p w14:paraId="63712ACF"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verde</w:t>
                            </w:r>
                          </w:p>
                          <w:p w14:paraId="07844322"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roxo</w:t>
                            </w:r>
                          </w:p>
                          <w:p w14:paraId="78103375"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gialla</w:t>
                            </w:r>
                          </w:p>
                          <w:p w14:paraId="209313FB" w14:textId="77777777" w:rsidR="00703FCF" w:rsidRDefault="00703FCF" w:rsidP="0044264A">
                            <w:pPr>
                              <w:ind w:left="36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F3DE0C" id="_x0000_t202" coordsize="21600,21600" o:spt="202" path="m,l,21600r21600,l21600,xe">
                <v:stroke joinstyle="miter"/>
                <v:path gradientshapeok="t" o:connecttype="rect"/>
              </v:shapetype>
              <v:shape id="Caixa de Texto 2" o:spid="_x0000_s1026" type="#_x0000_t202" style="position:absolute;margin-left:347.7pt;margin-top:18.35pt;width:132pt;height:75.1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" stroked="f">
                <v:textbox>
                  <w:txbxContent>
                    <w:p w14:paraId="40FA7542"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laranja</w:t>
                      </w:r>
                    </w:p>
                    <w:p w14:paraId="63712ACF"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verde</w:t>
                      </w:r>
                    </w:p>
                    <w:p w14:paraId="07844322"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roxo</w:t>
                      </w:r>
                    </w:p>
                    <w:p w14:paraId="78103375" w14:textId="77777777" w:rsidR="00703FCF" w:rsidRPr="00F97FAB" w:rsidRDefault="00703FCF" w:rsidP="0044264A">
                      <w:pPr>
                        <w:pStyle w:val="PargrafodaLista"/>
                        <w:numPr>
                          <w:ilvl w:val="0"/>
                          <w:numId w:val="4"/>
                        </w:numPr>
                        <w:spacing w:after="160" w:line="259" w:lineRule="auto"/>
                        <w:ind w:right="0"/>
                        <w:jc w:val="left"/>
                        <w:rPr>
                          <w:szCs w:val="24"/>
                        </w:rPr>
                      </w:pPr>
                      <w:r w:rsidRPr="00F97FAB">
                        <w:rPr>
                          <w:szCs w:val="24"/>
                        </w:rPr>
                        <w:t>Cultivar gialla</w:t>
                      </w:r>
                    </w:p>
                    <w:p w14:paraId="209313FB" w14:textId="77777777" w:rsidR="00703FCF" w:rsidRDefault="00703FCF" w:rsidP="0044264A">
                      <w:pPr>
                        <w:ind w:left="360"/>
                      </w:pPr>
                    </w:p>
                  </w:txbxContent>
                </v:textbox>
                <w10:wrap type="square"/>
              </v:shape>
            </w:pict>
          </mc:Fallback>
        </mc:AlternateContent>
      </w:r>
      <w:r w:rsidRPr="0044264A">
        <w:rPr>
          <w:rFonts w:eastAsiaTheme="minorHAnsi"/>
          <w:noProof/>
          <w:color w:val="auto"/>
          <w:szCs w:val="24"/>
        </w:rPr>
        <w:drawing>
          <wp:inline distT="0" distB="0" distL="0" distR="0" wp14:anchorId="363FCDB1" wp14:editId="48C2C25D">
            <wp:extent cx="4181475" cy="1590675"/>
            <wp:effectExtent l="0" t="0" r="9525" b="9525"/>
            <wp:docPr id="216" name="Imagem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81475" cy="1590675"/>
                    </a:xfrm>
                    <a:prstGeom prst="rect">
                      <a:avLst/>
                    </a:prstGeom>
                    <a:noFill/>
                    <a:ln>
                      <a:noFill/>
                    </a:ln>
                  </pic:spPr>
                </pic:pic>
              </a:graphicData>
            </a:graphic>
          </wp:inline>
        </w:drawing>
      </w:r>
    </w:p>
    <w:p w14:paraId="6A66109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896F13A"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2- variação do comprimento das diferentes cultivares</w:t>
      </w:r>
    </w:p>
    <w:p w14:paraId="01B13AC1"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2A73310" wp14:editId="135EDF62">
            <wp:extent cx="3152775" cy="1609725"/>
            <wp:effectExtent l="0" t="0" r="9525" b="9525"/>
            <wp:docPr id="218" name="Imagem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152775" cy="1609725"/>
                    </a:xfrm>
                    <a:prstGeom prst="rect">
                      <a:avLst/>
                    </a:prstGeom>
                    <a:noFill/>
                    <a:ln>
                      <a:noFill/>
                    </a:ln>
                  </pic:spPr>
                </pic:pic>
              </a:graphicData>
            </a:graphic>
          </wp:inline>
        </w:drawing>
      </w:r>
    </w:p>
    <w:p w14:paraId="0727BB2F"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A44AEFB"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57F9806E"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3 – Variação do peso nas diferentes cultivares</w:t>
      </w:r>
    </w:p>
    <w:p w14:paraId="1106F6AB" w14:textId="1B0C4B2E"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39AC5BBD" wp14:editId="244830C9">
            <wp:extent cx="3162300" cy="1571625"/>
            <wp:effectExtent l="0" t="0" r="0" b="9525"/>
            <wp:docPr id="219" name="Imagem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62300" cy="1571625"/>
                    </a:xfrm>
                    <a:prstGeom prst="rect">
                      <a:avLst/>
                    </a:prstGeom>
                    <a:noFill/>
                    <a:ln>
                      <a:noFill/>
                    </a:ln>
                  </pic:spPr>
                </pic:pic>
              </a:graphicData>
            </a:graphic>
          </wp:inline>
        </w:drawing>
      </w:r>
    </w:p>
    <w:p w14:paraId="5331B08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4 – variação do parâmetro L*</w:t>
      </w:r>
    </w:p>
    <w:p w14:paraId="344ECE11"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008461AB" wp14:editId="71A39E02">
            <wp:extent cx="3810000" cy="1609725"/>
            <wp:effectExtent l="0" t="0" r="0" b="9525"/>
            <wp:docPr id="220" name="Imagem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10000" cy="1609725"/>
                    </a:xfrm>
                    <a:prstGeom prst="rect">
                      <a:avLst/>
                    </a:prstGeom>
                    <a:noFill/>
                    <a:ln>
                      <a:noFill/>
                    </a:ln>
                  </pic:spPr>
                </pic:pic>
              </a:graphicData>
            </a:graphic>
          </wp:inline>
        </w:drawing>
      </w:r>
    </w:p>
    <w:p w14:paraId="4E442888"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27D3D8C0"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52F1472"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5 – variação do parâmetro a*</w:t>
      </w:r>
    </w:p>
    <w:p w14:paraId="7A3012F5"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2CF1981B" wp14:editId="4B65200C">
            <wp:extent cx="3143250" cy="1619250"/>
            <wp:effectExtent l="0" t="0" r="0" b="0"/>
            <wp:docPr id="221" name="Imagem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143250" cy="1619250"/>
                    </a:xfrm>
                    <a:prstGeom prst="rect">
                      <a:avLst/>
                    </a:prstGeom>
                    <a:noFill/>
                    <a:ln>
                      <a:noFill/>
                    </a:ln>
                  </pic:spPr>
                </pic:pic>
              </a:graphicData>
            </a:graphic>
          </wp:inline>
        </w:drawing>
      </w:r>
    </w:p>
    <w:p w14:paraId="21542E07"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576811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6 – variação do parâmetro b*</w:t>
      </w:r>
    </w:p>
    <w:p w14:paraId="1E43DC5A" w14:textId="77777777" w:rsid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018B36D8" wp14:editId="54C39EB6">
            <wp:extent cx="3238500" cy="1581150"/>
            <wp:effectExtent l="0" t="0" r="0" b="0"/>
            <wp:docPr id="222" name="Imagem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38500" cy="1581150"/>
                    </a:xfrm>
                    <a:prstGeom prst="rect">
                      <a:avLst/>
                    </a:prstGeom>
                    <a:noFill/>
                    <a:ln>
                      <a:noFill/>
                    </a:ln>
                  </pic:spPr>
                </pic:pic>
              </a:graphicData>
            </a:graphic>
          </wp:inline>
        </w:drawing>
      </w:r>
    </w:p>
    <w:p w14:paraId="50B68D4C" w14:textId="77777777" w:rsidR="009A72E6" w:rsidRDefault="009A72E6" w:rsidP="0044264A">
      <w:pPr>
        <w:spacing w:after="160" w:line="259" w:lineRule="auto"/>
        <w:ind w:left="0" w:right="0" w:firstLine="0"/>
        <w:jc w:val="left"/>
        <w:rPr>
          <w:rFonts w:eastAsiaTheme="minorHAnsi"/>
          <w:color w:val="auto"/>
          <w:szCs w:val="24"/>
          <w:lang w:eastAsia="en-US"/>
        </w:rPr>
      </w:pPr>
    </w:p>
    <w:p w14:paraId="345772B3" w14:textId="77777777" w:rsidR="009A72E6" w:rsidRDefault="009A72E6" w:rsidP="0044264A">
      <w:pPr>
        <w:spacing w:after="160" w:line="259" w:lineRule="auto"/>
        <w:ind w:left="0" w:right="0" w:firstLine="0"/>
        <w:jc w:val="left"/>
        <w:rPr>
          <w:rFonts w:eastAsiaTheme="minorHAnsi"/>
          <w:color w:val="auto"/>
          <w:szCs w:val="24"/>
          <w:lang w:eastAsia="en-US"/>
        </w:rPr>
      </w:pPr>
    </w:p>
    <w:p w14:paraId="4F7BB5F6" w14:textId="77777777" w:rsidR="009A72E6" w:rsidRDefault="009A72E6" w:rsidP="0044264A">
      <w:pPr>
        <w:spacing w:after="160" w:line="259" w:lineRule="auto"/>
        <w:ind w:left="0" w:right="0" w:firstLine="0"/>
        <w:jc w:val="left"/>
        <w:rPr>
          <w:rFonts w:eastAsiaTheme="minorHAnsi"/>
          <w:color w:val="auto"/>
          <w:szCs w:val="24"/>
          <w:lang w:eastAsia="en-US"/>
        </w:rPr>
      </w:pPr>
    </w:p>
    <w:p w14:paraId="41ACF216" w14:textId="77777777" w:rsidR="00B50684" w:rsidRDefault="00B50684" w:rsidP="0044264A">
      <w:pPr>
        <w:spacing w:after="160" w:line="259" w:lineRule="auto"/>
        <w:ind w:left="0" w:right="0" w:firstLine="0"/>
        <w:jc w:val="left"/>
        <w:rPr>
          <w:rFonts w:eastAsiaTheme="minorHAnsi"/>
          <w:color w:val="auto"/>
          <w:szCs w:val="24"/>
          <w:lang w:eastAsia="en-US"/>
        </w:rPr>
      </w:pPr>
    </w:p>
    <w:p w14:paraId="22D00FAF" w14:textId="77777777" w:rsidR="00B50684" w:rsidRDefault="00B50684" w:rsidP="0044264A">
      <w:pPr>
        <w:spacing w:after="160" w:line="259" w:lineRule="auto"/>
        <w:ind w:left="0" w:right="0" w:firstLine="0"/>
        <w:jc w:val="left"/>
        <w:rPr>
          <w:rFonts w:eastAsiaTheme="minorHAnsi"/>
          <w:color w:val="auto"/>
          <w:szCs w:val="24"/>
          <w:lang w:eastAsia="en-US"/>
        </w:rPr>
      </w:pPr>
    </w:p>
    <w:p w14:paraId="22F67050" w14:textId="77777777" w:rsidR="00B50684" w:rsidRDefault="00B50684" w:rsidP="0044264A">
      <w:pPr>
        <w:spacing w:after="160" w:line="259" w:lineRule="auto"/>
        <w:ind w:left="0" w:right="0" w:firstLine="0"/>
        <w:jc w:val="left"/>
        <w:rPr>
          <w:rFonts w:eastAsiaTheme="minorHAnsi"/>
          <w:color w:val="auto"/>
          <w:szCs w:val="24"/>
          <w:lang w:eastAsia="en-US"/>
        </w:rPr>
      </w:pPr>
      <w:bookmarkStart w:id="337" w:name="_GoBack"/>
      <w:bookmarkEnd w:id="337"/>
    </w:p>
    <w:p w14:paraId="2C691F9F" w14:textId="299EE31E"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7- variação do parâmetro Hue</w:t>
      </w:r>
    </w:p>
    <w:p w14:paraId="57EECFB5"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6FAC8654" wp14:editId="48AA447E">
            <wp:extent cx="3676650" cy="1571625"/>
            <wp:effectExtent l="0" t="0" r="0" b="9525"/>
            <wp:docPr id="223" name="Imagem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76650" cy="1571625"/>
                    </a:xfrm>
                    <a:prstGeom prst="rect">
                      <a:avLst/>
                    </a:prstGeom>
                    <a:noFill/>
                    <a:ln>
                      <a:noFill/>
                    </a:ln>
                  </pic:spPr>
                </pic:pic>
              </a:graphicData>
            </a:graphic>
          </wp:inline>
        </w:drawing>
      </w:r>
    </w:p>
    <w:p w14:paraId="7FA32E63"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23791CA"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8E0B5BF"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8 – variação do parâmetro Chroma</w:t>
      </w:r>
    </w:p>
    <w:p w14:paraId="7FA91F2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471278E7" wp14:editId="2AB51BAC">
            <wp:extent cx="3209925" cy="1581150"/>
            <wp:effectExtent l="0" t="0" r="9525" b="0"/>
            <wp:docPr id="224" name="Imagem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09925" cy="1581150"/>
                    </a:xfrm>
                    <a:prstGeom prst="rect">
                      <a:avLst/>
                    </a:prstGeom>
                    <a:noFill/>
                    <a:ln>
                      <a:noFill/>
                    </a:ln>
                  </pic:spPr>
                </pic:pic>
              </a:graphicData>
            </a:graphic>
          </wp:inline>
        </w:drawing>
      </w:r>
    </w:p>
    <w:p w14:paraId="161DE36F"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3AAC3F6"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92C7568"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59A0E3BB"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9 – Variação da firmeza sem casca</w:t>
      </w:r>
    </w:p>
    <w:p w14:paraId="0C4D6BAE"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00F36297" wp14:editId="1419EAD0">
            <wp:extent cx="4076700" cy="1581150"/>
            <wp:effectExtent l="0" t="0" r="0" b="0"/>
            <wp:docPr id="225" name="Imagem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76700" cy="1581150"/>
                    </a:xfrm>
                    <a:prstGeom prst="rect">
                      <a:avLst/>
                    </a:prstGeom>
                    <a:noFill/>
                    <a:ln>
                      <a:noFill/>
                    </a:ln>
                  </pic:spPr>
                </pic:pic>
              </a:graphicData>
            </a:graphic>
          </wp:inline>
        </w:drawing>
      </w:r>
    </w:p>
    <w:p w14:paraId="1128B786"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21543D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4D8060A"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4E6C884C"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4B59D35"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65CCCAD"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10 – variação da firmeza com casca</w:t>
      </w:r>
    </w:p>
    <w:p w14:paraId="2124DB32"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4151EAA1" wp14:editId="7EA30940">
            <wp:extent cx="3248025" cy="1562100"/>
            <wp:effectExtent l="0" t="0" r="9525" b="0"/>
            <wp:docPr id="226" name="Imagem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48025" cy="1562100"/>
                    </a:xfrm>
                    <a:prstGeom prst="rect">
                      <a:avLst/>
                    </a:prstGeom>
                    <a:noFill/>
                    <a:ln>
                      <a:noFill/>
                    </a:ln>
                  </pic:spPr>
                </pic:pic>
              </a:graphicData>
            </a:graphic>
          </wp:inline>
        </w:drawing>
      </w:r>
    </w:p>
    <w:p w14:paraId="1DF9D88B"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4F51BFF"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A3FD4C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11- variação da firmeza sem casca</w:t>
      </w:r>
    </w:p>
    <w:p w14:paraId="1DD20F7D"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4FA6CDD7" wp14:editId="4D339908">
            <wp:extent cx="4057650" cy="1600200"/>
            <wp:effectExtent l="0" t="0" r="0" b="0"/>
            <wp:docPr id="227" name="Imagem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057650" cy="1600200"/>
                    </a:xfrm>
                    <a:prstGeom prst="rect">
                      <a:avLst/>
                    </a:prstGeom>
                    <a:noFill/>
                    <a:ln>
                      <a:noFill/>
                    </a:ln>
                  </pic:spPr>
                </pic:pic>
              </a:graphicData>
            </a:graphic>
          </wp:inline>
        </w:drawing>
      </w:r>
    </w:p>
    <w:p w14:paraId="1EA8EF4D"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51F11BFD"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12 – variação do Brix</w:t>
      </w:r>
    </w:p>
    <w:p w14:paraId="29CB8989"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4F829F46" wp14:editId="61251253">
            <wp:extent cx="3114675" cy="1628775"/>
            <wp:effectExtent l="0" t="0" r="9525" b="9525"/>
            <wp:docPr id="228" name="Imagem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14675" cy="1628775"/>
                    </a:xfrm>
                    <a:prstGeom prst="rect">
                      <a:avLst/>
                    </a:prstGeom>
                    <a:noFill/>
                    <a:ln>
                      <a:noFill/>
                    </a:ln>
                  </pic:spPr>
                </pic:pic>
              </a:graphicData>
            </a:graphic>
          </wp:inline>
        </w:drawing>
      </w:r>
    </w:p>
    <w:p w14:paraId="00681155"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36DA513" w14:textId="4C1E5A3D" w:rsidR="0044264A" w:rsidRDefault="0044264A" w:rsidP="0044264A">
      <w:pPr>
        <w:spacing w:after="160" w:line="259" w:lineRule="auto"/>
        <w:ind w:left="0" w:right="0" w:firstLine="0"/>
        <w:jc w:val="left"/>
        <w:rPr>
          <w:rFonts w:eastAsiaTheme="minorHAnsi"/>
          <w:color w:val="auto"/>
          <w:szCs w:val="24"/>
          <w:lang w:eastAsia="en-US"/>
        </w:rPr>
      </w:pPr>
    </w:p>
    <w:p w14:paraId="4378AB47" w14:textId="304D4427" w:rsidR="009A72E6" w:rsidRDefault="009A72E6" w:rsidP="0044264A">
      <w:pPr>
        <w:spacing w:after="160" w:line="259" w:lineRule="auto"/>
        <w:ind w:left="0" w:right="0" w:firstLine="0"/>
        <w:jc w:val="left"/>
        <w:rPr>
          <w:rFonts w:eastAsiaTheme="minorHAnsi"/>
          <w:color w:val="auto"/>
          <w:szCs w:val="24"/>
          <w:lang w:eastAsia="en-US"/>
        </w:rPr>
      </w:pPr>
    </w:p>
    <w:p w14:paraId="1F3C4D35" w14:textId="0CDE9410" w:rsidR="009A72E6" w:rsidRDefault="009A72E6" w:rsidP="0044264A">
      <w:pPr>
        <w:spacing w:after="160" w:line="259" w:lineRule="auto"/>
        <w:ind w:left="0" w:right="0" w:firstLine="0"/>
        <w:jc w:val="left"/>
        <w:rPr>
          <w:rFonts w:eastAsiaTheme="minorHAnsi"/>
          <w:color w:val="auto"/>
          <w:szCs w:val="24"/>
          <w:lang w:eastAsia="en-US"/>
        </w:rPr>
      </w:pPr>
    </w:p>
    <w:p w14:paraId="51E2D33F" w14:textId="77777777" w:rsidR="009A72E6" w:rsidRDefault="009A72E6" w:rsidP="0044264A">
      <w:pPr>
        <w:spacing w:after="160" w:line="259" w:lineRule="auto"/>
        <w:ind w:left="0" w:right="0" w:firstLine="0"/>
        <w:jc w:val="left"/>
        <w:rPr>
          <w:rFonts w:eastAsiaTheme="minorHAnsi"/>
          <w:color w:val="auto"/>
          <w:szCs w:val="24"/>
          <w:lang w:eastAsia="en-US"/>
        </w:rPr>
      </w:pPr>
    </w:p>
    <w:p w14:paraId="1062906A"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13 – variação do pH</w:t>
      </w:r>
    </w:p>
    <w:p w14:paraId="304AF17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663CE872" wp14:editId="49AE45A4">
            <wp:extent cx="2171700" cy="1600200"/>
            <wp:effectExtent l="0" t="0" r="0" b="0"/>
            <wp:docPr id="229" name="Imagem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71700" cy="1600200"/>
                    </a:xfrm>
                    <a:prstGeom prst="rect">
                      <a:avLst/>
                    </a:prstGeom>
                    <a:noFill/>
                    <a:ln>
                      <a:noFill/>
                    </a:ln>
                  </pic:spPr>
                </pic:pic>
              </a:graphicData>
            </a:graphic>
          </wp:inline>
        </w:drawing>
      </w:r>
    </w:p>
    <w:p w14:paraId="461D926F"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77877500" w14:textId="77777777" w:rsidR="0044264A" w:rsidRDefault="0044264A" w:rsidP="0044264A">
      <w:pPr>
        <w:spacing w:after="160" w:line="259" w:lineRule="auto"/>
        <w:ind w:left="0" w:right="0" w:firstLine="0"/>
        <w:jc w:val="left"/>
        <w:rPr>
          <w:rFonts w:eastAsiaTheme="minorHAnsi"/>
          <w:color w:val="auto"/>
          <w:szCs w:val="24"/>
          <w:lang w:eastAsia="en-US"/>
        </w:rPr>
      </w:pPr>
    </w:p>
    <w:p w14:paraId="22A0888C" w14:textId="77777777" w:rsidR="0044264A" w:rsidRDefault="0044264A" w:rsidP="0044264A">
      <w:pPr>
        <w:spacing w:after="160" w:line="259" w:lineRule="auto"/>
        <w:ind w:left="0" w:right="0" w:firstLine="0"/>
        <w:jc w:val="left"/>
        <w:rPr>
          <w:rFonts w:eastAsiaTheme="minorHAnsi"/>
          <w:color w:val="auto"/>
          <w:szCs w:val="24"/>
          <w:lang w:eastAsia="en-US"/>
        </w:rPr>
      </w:pPr>
    </w:p>
    <w:p w14:paraId="03A32CF8"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 xml:space="preserve">Tabela 14 – Variação da acidez titulável </w:t>
      </w:r>
    </w:p>
    <w:p w14:paraId="2600CBD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3DB27174" wp14:editId="01B756EC">
            <wp:extent cx="2638425" cy="1543050"/>
            <wp:effectExtent l="0" t="0" r="9525" b="0"/>
            <wp:docPr id="230" name="Imagem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638425" cy="1543050"/>
                    </a:xfrm>
                    <a:prstGeom prst="rect">
                      <a:avLst/>
                    </a:prstGeom>
                    <a:noFill/>
                    <a:ln>
                      <a:noFill/>
                    </a:ln>
                  </pic:spPr>
                </pic:pic>
              </a:graphicData>
            </a:graphic>
          </wp:inline>
        </w:drawing>
      </w:r>
    </w:p>
    <w:p w14:paraId="07997F62"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26B8788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DF43659" w14:textId="77777777" w:rsidR="0044264A" w:rsidRPr="0044264A" w:rsidRDefault="0044264A" w:rsidP="0044264A">
      <w:pPr>
        <w:spacing w:after="160" w:line="259" w:lineRule="auto"/>
        <w:ind w:left="0" w:right="0" w:firstLine="0"/>
        <w:jc w:val="left"/>
        <w:rPr>
          <w:rFonts w:eastAsiaTheme="minorHAnsi"/>
          <w:color w:val="auto"/>
          <w:sz w:val="28"/>
          <w:szCs w:val="24"/>
          <w:lang w:eastAsia="en-US"/>
        </w:rPr>
      </w:pPr>
      <w:r w:rsidRPr="0044264A">
        <w:rPr>
          <w:rFonts w:eastAsiaTheme="minorHAnsi"/>
          <w:color w:val="auto"/>
          <w:sz w:val="28"/>
          <w:szCs w:val="24"/>
          <w:lang w:eastAsia="en-US"/>
        </w:rPr>
        <w:t>Anexo II – compostos fenólicos</w:t>
      </w:r>
    </w:p>
    <w:p w14:paraId="6CD5B85D"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5E0EC54A"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15 – Variação do teor de fenóis totais para a casca</w:t>
      </w:r>
    </w:p>
    <w:p w14:paraId="77B38B4F" w14:textId="77777777" w:rsid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18E3ECC" wp14:editId="790C189C">
            <wp:extent cx="3190875" cy="1647825"/>
            <wp:effectExtent l="0" t="0" r="9525" b="9525"/>
            <wp:docPr id="231" name="Imagem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190875" cy="1647825"/>
                    </a:xfrm>
                    <a:prstGeom prst="rect">
                      <a:avLst/>
                    </a:prstGeom>
                    <a:noFill/>
                    <a:ln>
                      <a:noFill/>
                    </a:ln>
                  </pic:spPr>
                </pic:pic>
              </a:graphicData>
            </a:graphic>
          </wp:inline>
        </w:drawing>
      </w:r>
    </w:p>
    <w:p w14:paraId="5E7BCBA9" w14:textId="77777777" w:rsidR="009A72E6" w:rsidRDefault="009A72E6" w:rsidP="0044264A">
      <w:pPr>
        <w:spacing w:after="160" w:line="259" w:lineRule="auto"/>
        <w:ind w:left="0" w:right="0" w:firstLine="0"/>
        <w:jc w:val="left"/>
        <w:rPr>
          <w:rFonts w:eastAsiaTheme="minorHAnsi"/>
          <w:color w:val="auto"/>
          <w:szCs w:val="24"/>
          <w:lang w:eastAsia="en-US"/>
        </w:rPr>
      </w:pPr>
    </w:p>
    <w:p w14:paraId="65B4E24C" w14:textId="77777777" w:rsidR="009A72E6" w:rsidRDefault="009A72E6" w:rsidP="0044264A">
      <w:pPr>
        <w:spacing w:after="160" w:line="259" w:lineRule="auto"/>
        <w:ind w:left="0" w:right="0" w:firstLine="0"/>
        <w:jc w:val="left"/>
        <w:rPr>
          <w:rFonts w:eastAsiaTheme="minorHAnsi"/>
          <w:color w:val="auto"/>
          <w:szCs w:val="24"/>
          <w:lang w:eastAsia="en-US"/>
        </w:rPr>
      </w:pPr>
    </w:p>
    <w:p w14:paraId="3DF45753" w14:textId="4A562421"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16 – Variação do teor de fenóis para a polpa</w:t>
      </w:r>
    </w:p>
    <w:p w14:paraId="61C6EE48"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60191D38" wp14:editId="3E82D39F">
            <wp:extent cx="3171825" cy="1628775"/>
            <wp:effectExtent l="0" t="0" r="9525" b="9525"/>
            <wp:docPr id="232" name="Imagem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171825" cy="1628775"/>
                    </a:xfrm>
                    <a:prstGeom prst="rect">
                      <a:avLst/>
                    </a:prstGeom>
                    <a:noFill/>
                    <a:ln>
                      <a:noFill/>
                    </a:ln>
                  </pic:spPr>
                </pic:pic>
              </a:graphicData>
            </a:graphic>
          </wp:inline>
        </w:drawing>
      </w:r>
    </w:p>
    <w:p w14:paraId="27B025E9"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2BAB28BF"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046FDB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E7FC5D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17 – Variação do TEAC para a casca</w:t>
      </w:r>
    </w:p>
    <w:p w14:paraId="26D4E48E"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3BFD5247" wp14:editId="004A4DA1">
            <wp:extent cx="3067050" cy="1619250"/>
            <wp:effectExtent l="0" t="0" r="0" b="0"/>
            <wp:docPr id="233" name="Imagem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067050" cy="1619250"/>
                    </a:xfrm>
                    <a:prstGeom prst="rect">
                      <a:avLst/>
                    </a:prstGeom>
                    <a:noFill/>
                    <a:ln>
                      <a:noFill/>
                    </a:ln>
                  </pic:spPr>
                </pic:pic>
              </a:graphicData>
            </a:graphic>
          </wp:inline>
        </w:drawing>
      </w:r>
    </w:p>
    <w:p w14:paraId="5050D83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48831AB5"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18 – Variação do TEAC para a polpa</w:t>
      </w:r>
    </w:p>
    <w:p w14:paraId="68A46718"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3D90D92E" wp14:editId="78E87C52">
            <wp:extent cx="2238375" cy="1905000"/>
            <wp:effectExtent l="0" t="0" r="9525" b="0"/>
            <wp:docPr id="241" name="Imagem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238375" cy="1905000"/>
                    </a:xfrm>
                    <a:prstGeom prst="rect">
                      <a:avLst/>
                    </a:prstGeom>
                    <a:noFill/>
                    <a:ln>
                      <a:noFill/>
                    </a:ln>
                  </pic:spPr>
                </pic:pic>
              </a:graphicData>
            </a:graphic>
          </wp:inline>
        </w:drawing>
      </w:r>
    </w:p>
    <w:p w14:paraId="0613FFA7" w14:textId="77777777" w:rsidR="0044264A" w:rsidRDefault="0044264A" w:rsidP="0044264A">
      <w:pPr>
        <w:spacing w:after="160" w:line="259" w:lineRule="auto"/>
        <w:ind w:left="0" w:right="0" w:firstLine="0"/>
        <w:jc w:val="left"/>
        <w:rPr>
          <w:rFonts w:eastAsiaTheme="minorHAnsi"/>
          <w:color w:val="auto"/>
          <w:szCs w:val="24"/>
          <w:lang w:eastAsia="en-US"/>
        </w:rPr>
      </w:pPr>
    </w:p>
    <w:p w14:paraId="48436DC7" w14:textId="77777777" w:rsidR="0044264A" w:rsidRDefault="0044264A" w:rsidP="0044264A">
      <w:pPr>
        <w:spacing w:after="160" w:line="259" w:lineRule="auto"/>
        <w:ind w:left="0" w:right="0" w:firstLine="0"/>
        <w:jc w:val="left"/>
        <w:rPr>
          <w:rFonts w:eastAsiaTheme="minorHAnsi"/>
          <w:color w:val="auto"/>
          <w:szCs w:val="24"/>
          <w:lang w:eastAsia="en-US"/>
        </w:rPr>
      </w:pPr>
    </w:p>
    <w:p w14:paraId="5DD74967" w14:textId="77777777" w:rsidR="008E3D70" w:rsidRDefault="008E3D70" w:rsidP="0044264A">
      <w:pPr>
        <w:spacing w:after="160" w:line="259" w:lineRule="auto"/>
        <w:ind w:left="0" w:right="0" w:firstLine="0"/>
        <w:jc w:val="left"/>
        <w:rPr>
          <w:rFonts w:eastAsiaTheme="minorHAnsi"/>
          <w:color w:val="auto"/>
          <w:szCs w:val="24"/>
          <w:lang w:eastAsia="en-US"/>
        </w:rPr>
      </w:pPr>
    </w:p>
    <w:p w14:paraId="2727D3A7" w14:textId="77777777" w:rsidR="008E3D70" w:rsidRDefault="008E3D70" w:rsidP="0044264A">
      <w:pPr>
        <w:spacing w:after="160" w:line="259" w:lineRule="auto"/>
        <w:ind w:left="0" w:right="0" w:firstLine="0"/>
        <w:jc w:val="left"/>
        <w:rPr>
          <w:rFonts w:eastAsiaTheme="minorHAnsi"/>
          <w:color w:val="auto"/>
          <w:szCs w:val="24"/>
          <w:lang w:eastAsia="en-US"/>
        </w:rPr>
      </w:pPr>
    </w:p>
    <w:p w14:paraId="3DEF8256" w14:textId="77777777" w:rsidR="008E3D70" w:rsidRDefault="008E3D70" w:rsidP="0044264A">
      <w:pPr>
        <w:spacing w:after="160" w:line="259" w:lineRule="auto"/>
        <w:ind w:left="0" w:right="0" w:firstLine="0"/>
        <w:jc w:val="left"/>
        <w:rPr>
          <w:rFonts w:eastAsiaTheme="minorHAnsi"/>
          <w:color w:val="auto"/>
          <w:szCs w:val="24"/>
          <w:lang w:eastAsia="en-US"/>
        </w:rPr>
      </w:pPr>
    </w:p>
    <w:p w14:paraId="286800D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17 - Variação do DPPH para a casca</w:t>
      </w:r>
    </w:p>
    <w:p w14:paraId="38F4617D"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09F65060" wp14:editId="49762CA5">
            <wp:extent cx="2295525" cy="1914525"/>
            <wp:effectExtent l="0" t="0" r="9525" b="9525"/>
            <wp:docPr id="244" name="Imagem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295525" cy="1914525"/>
                    </a:xfrm>
                    <a:prstGeom prst="rect">
                      <a:avLst/>
                    </a:prstGeom>
                    <a:noFill/>
                    <a:ln>
                      <a:noFill/>
                    </a:ln>
                  </pic:spPr>
                </pic:pic>
              </a:graphicData>
            </a:graphic>
          </wp:inline>
        </w:drawing>
      </w:r>
    </w:p>
    <w:p w14:paraId="124CD327"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284D315F"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18 – Variação do DPPH para a polpa</w:t>
      </w:r>
    </w:p>
    <w:p w14:paraId="346BD7D0"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559B9181" wp14:editId="4C29DA5A">
            <wp:extent cx="3162300" cy="1619250"/>
            <wp:effectExtent l="0" t="0" r="0" b="0"/>
            <wp:docPr id="246" name="Imagem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162300" cy="1619250"/>
                    </a:xfrm>
                    <a:prstGeom prst="rect">
                      <a:avLst/>
                    </a:prstGeom>
                    <a:noFill/>
                    <a:ln>
                      <a:noFill/>
                    </a:ln>
                  </pic:spPr>
                </pic:pic>
              </a:graphicData>
            </a:graphic>
          </wp:inline>
        </w:drawing>
      </w:r>
    </w:p>
    <w:p w14:paraId="28431949"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12DCD61"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452CBD22"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18 – Variação dos flavonoides para a casca</w:t>
      </w:r>
    </w:p>
    <w:p w14:paraId="60609259"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CAA9C63" wp14:editId="383E7F2C">
            <wp:extent cx="2143125" cy="1800225"/>
            <wp:effectExtent l="0" t="0" r="9525" b="9525"/>
            <wp:docPr id="247" name="Imagem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143125" cy="1800225"/>
                    </a:xfrm>
                    <a:prstGeom prst="rect">
                      <a:avLst/>
                    </a:prstGeom>
                    <a:noFill/>
                    <a:ln>
                      <a:noFill/>
                    </a:ln>
                  </pic:spPr>
                </pic:pic>
              </a:graphicData>
            </a:graphic>
          </wp:inline>
        </w:drawing>
      </w:r>
    </w:p>
    <w:p w14:paraId="73DB47BB"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E5BC440"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18493B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6235308"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435304D"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78ABE03"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19 – Variação dos flavonoides para a polpa</w:t>
      </w:r>
    </w:p>
    <w:p w14:paraId="70A829DE"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50A1828A" wp14:editId="5F19D3E1">
            <wp:extent cx="2247900" cy="1885950"/>
            <wp:effectExtent l="0" t="0" r="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247900" cy="1885950"/>
                    </a:xfrm>
                    <a:prstGeom prst="rect">
                      <a:avLst/>
                    </a:prstGeom>
                    <a:noFill/>
                    <a:ln>
                      <a:noFill/>
                    </a:ln>
                  </pic:spPr>
                </pic:pic>
              </a:graphicData>
            </a:graphic>
          </wp:inline>
        </w:drawing>
      </w:r>
    </w:p>
    <w:p w14:paraId="7E5B0D00"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60EB3D0"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20 – Variação das betacianinas para a casca</w:t>
      </w:r>
    </w:p>
    <w:p w14:paraId="7D14DAF2"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CE24037" wp14:editId="0EC68A40">
            <wp:extent cx="3733800" cy="1638300"/>
            <wp:effectExtent l="0" t="0" r="0" b="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33800" cy="1638300"/>
                    </a:xfrm>
                    <a:prstGeom prst="rect">
                      <a:avLst/>
                    </a:prstGeom>
                    <a:noFill/>
                    <a:ln>
                      <a:noFill/>
                    </a:ln>
                  </pic:spPr>
                </pic:pic>
              </a:graphicData>
            </a:graphic>
          </wp:inline>
        </w:drawing>
      </w:r>
    </w:p>
    <w:p w14:paraId="24207272"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BD35510"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21 – Variação das betacianinas para a polpa</w:t>
      </w:r>
    </w:p>
    <w:p w14:paraId="4572EB87"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1B26DEC" wp14:editId="652FEB2C">
            <wp:extent cx="3019425" cy="1581150"/>
            <wp:effectExtent l="0" t="0" r="9525" b="0"/>
            <wp:docPr id="192" name="Imagem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019425" cy="1581150"/>
                    </a:xfrm>
                    <a:prstGeom prst="rect">
                      <a:avLst/>
                    </a:prstGeom>
                    <a:noFill/>
                    <a:ln>
                      <a:noFill/>
                    </a:ln>
                  </pic:spPr>
                </pic:pic>
              </a:graphicData>
            </a:graphic>
          </wp:inline>
        </w:drawing>
      </w:r>
    </w:p>
    <w:p w14:paraId="64C27408"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2EA3685" w14:textId="77777777" w:rsidR="0044264A" w:rsidRDefault="0044264A" w:rsidP="0044264A">
      <w:pPr>
        <w:spacing w:after="160" w:line="259" w:lineRule="auto"/>
        <w:ind w:left="0" w:right="0" w:firstLine="0"/>
        <w:jc w:val="left"/>
        <w:rPr>
          <w:rFonts w:eastAsiaTheme="minorHAnsi"/>
          <w:color w:val="auto"/>
          <w:szCs w:val="24"/>
          <w:lang w:eastAsia="en-US"/>
        </w:rPr>
      </w:pPr>
    </w:p>
    <w:p w14:paraId="3E3A371A" w14:textId="77777777" w:rsidR="0044264A" w:rsidRDefault="0044264A" w:rsidP="0044264A">
      <w:pPr>
        <w:spacing w:after="160" w:line="259" w:lineRule="auto"/>
        <w:ind w:left="0" w:right="0" w:firstLine="0"/>
        <w:jc w:val="left"/>
        <w:rPr>
          <w:rFonts w:eastAsiaTheme="minorHAnsi"/>
          <w:color w:val="auto"/>
          <w:szCs w:val="24"/>
          <w:lang w:eastAsia="en-US"/>
        </w:rPr>
      </w:pPr>
    </w:p>
    <w:p w14:paraId="5A60AF6B" w14:textId="77777777" w:rsidR="0044264A" w:rsidRDefault="0044264A" w:rsidP="0044264A">
      <w:pPr>
        <w:spacing w:after="160" w:line="259" w:lineRule="auto"/>
        <w:ind w:left="0" w:right="0" w:firstLine="0"/>
        <w:jc w:val="left"/>
        <w:rPr>
          <w:rFonts w:eastAsiaTheme="minorHAnsi"/>
          <w:color w:val="auto"/>
          <w:szCs w:val="24"/>
          <w:lang w:eastAsia="en-US"/>
        </w:rPr>
      </w:pPr>
    </w:p>
    <w:p w14:paraId="4A3686F1"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22 – Variação das betaxantinas para a casca</w:t>
      </w:r>
    </w:p>
    <w:p w14:paraId="28E3BB0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7A5DDB4F" wp14:editId="7DB36E37">
            <wp:extent cx="3048000" cy="1552575"/>
            <wp:effectExtent l="0" t="0" r="0" b="9525"/>
            <wp:docPr id="193" name="Imagem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48000" cy="1552575"/>
                    </a:xfrm>
                    <a:prstGeom prst="rect">
                      <a:avLst/>
                    </a:prstGeom>
                    <a:noFill/>
                    <a:ln>
                      <a:noFill/>
                    </a:ln>
                  </pic:spPr>
                </pic:pic>
              </a:graphicData>
            </a:graphic>
          </wp:inline>
        </w:drawing>
      </w:r>
    </w:p>
    <w:p w14:paraId="438B79A0" w14:textId="77777777" w:rsidR="0044264A" w:rsidRPr="0044264A" w:rsidRDefault="0044264A" w:rsidP="0044264A">
      <w:pPr>
        <w:spacing w:after="160" w:line="259" w:lineRule="auto"/>
        <w:ind w:left="0" w:right="0" w:firstLine="0"/>
        <w:jc w:val="left"/>
        <w:rPr>
          <w:rFonts w:eastAsiaTheme="minorHAnsi"/>
          <w:noProof/>
          <w:color w:val="auto"/>
          <w:szCs w:val="24"/>
        </w:rPr>
      </w:pPr>
    </w:p>
    <w:p w14:paraId="58C5C6CA" w14:textId="77777777" w:rsidR="0044264A" w:rsidRPr="0044264A" w:rsidRDefault="0044264A" w:rsidP="0044264A">
      <w:pPr>
        <w:spacing w:after="160" w:line="259" w:lineRule="auto"/>
        <w:ind w:left="0" w:right="0" w:firstLine="0"/>
        <w:jc w:val="left"/>
        <w:rPr>
          <w:rFonts w:eastAsiaTheme="minorHAnsi"/>
          <w:noProof/>
          <w:color w:val="auto"/>
          <w:szCs w:val="24"/>
        </w:rPr>
      </w:pPr>
      <w:r w:rsidRPr="0044264A">
        <w:rPr>
          <w:rFonts w:eastAsiaTheme="minorHAnsi"/>
          <w:noProof/>
          <w:color w:val="auto"/>
          <w:szCs w:val="24"/>
        </w:rPr>
        <w:t>Tabela 23 – Variação das betaxantinas para a polpa</w:t>
      </w:r>
    </w:p>
    <w:p w14:paraId="36682127"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67983262" wp14:editId="54D1C3ED">
            <wp:extent cx="3771900" cy="1609725"/>
            <wp:effectExtent l="0" t="0" r="0" b="9525"/>
            <wp:docPr id="194" name="Imagem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71900" cy="1609725"/>
                    </a:xfrm>
                    <a:prstGeom prst="rect">
                      <a:avLst/>
                    </a:prstGeom>
                    <a:noFill/>
                    <a:ln>
                      <a:noFill/>
                    </a:ln>
                  </pic:spPr>
                </pic:pic>
              </a:graphicData>
            </a:graphic>
          </wp:inline>
        </w:drawing>
      </w:r>
    </w:p>
    <w:p w14:paraId="53CCB2FA"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6EFB0A8B"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2FD05BA7"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24 – Variação dos taninos para a casca</w:t>
      </w:r>
    </w:p>
    <w:p w14:paraId="6758D189"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0E562B46" wp14:editId="1AC6DD8C">
            <wp:extent cx="3133725" cy="1619250"/>
            <wp:effectExtent l="0" t="0" r="9525" b="0"/>
            <wp:docPr id="195" name="Imagem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133725" cy="1619250"/>
                    </a:xfrm>
                    <a:prstGeom prst="rect">
                      <a:avLst/>
                    </a:prstGeom>
                    <a:noFill/>
                    <a:ln>
                      <a:noFill/>
                    </a:ln>
                  </pic:spPr>
                </pic:pic>
              </a:graphicData>
            </a:graphic>
          </wp:inline>
        </w:drawing>
      </w:r>
    </w:p>
    <w:p w14:paraId="556B53A1" w14:textId="77777777" w:rsidR="0044264A" w:rsidRDefault="0044264A" w:rsidP="0044264A">
      <w:pPr>
        <w:spacing w:after="160" w:line="259" w:lineRule="auto"/>
        <w:ind w:left="0" w:right="0" w:firstLine="0"/>
        <w:jc w:val="left"/>
        <w:rPr>
          <w:rFonts w:eastAsiaTheme="minorHAnsi"/>
          <w:color w:val="auto"/>
          <w:szCs w:val="24"/>
          <w:lang w:eastAsia="en-US"/>
        </w:rPr>
      </w:pPr>
    </w:p>
    <w:p w14:paraId="11741FAF" w14:textId="77777777" w:rsidR="0044264A" w:rsidRDefault="0044264A" w:rsidP="0044264A">
      <w:pPr>
        <w:spacing w:after="160" w:line="259" w:lineRule="auto"/>
        <w:ind w:left="0" w:right="0" w:firstLine="0"/>
        <w:jc w:val="left"/>
        <w:rPr>
          <w:rFonts w:eastAsiaTheme="minorHAnsi"/>
          <w:color w:val="auto"/>
          <w:szCs w:val="24"/>
          <w:lang w:eastAsia="en-US"/>
        </w:rPr>
      </w:pPr>
    </w:p>
    <w:p w14:paraId="2EF02809" w14:textId="77777777" w:rsidR="0044264A" w:rsidRDefault="0044264A" w:rsidP="0044264A">
      <w:pPr>
        <w:spacing w:after="160" w:line="259" w:lineRule="auto"/>
        <w:ind w:left="0" w:right="0" w:firstLine="0"/>
        <w:jc w:val="left"/>
        <w:rPr>
          <w:rFonts w:eastAsiaTheme="minorHAnsi"/>
          <w:color w:val="auto"/>
          <w:szCs w:val="24"/>
          <w:lang w:eastAsia="en-US"/>
        </w:rPr>
      </w:pPr>
    </w:p>
    <w:p w14:paraId="4E3CA23B" w14:textId="77777777" w:rsidR="0044264A" w:rsidRDefault="0044264A" w:rsidP="0044264A">
      <w:pPr>
        <w:spacing w:after="160" w:line="259" w:lineRule="auto"/>
        <w:ind w:left="0" w:right="0" w:firstLine="0"/>
        <w:jc w:val="left"/>
        <w:rPr>
          <w:rFonts w:eastAsiaTheme="minorHAnsi"/>
          <w:color w:val="auto"/>
          <w:szCs w:val="24"/>
          <w:lang w:eastAsia="en-US"/>
        </w:rPr>
      </w:pPr>
    </w:p>
    <w:p w14:paraId="07289DC9" w14:textId="77777777" w:rsidR="0044264A" w:rsidRDefault="0044264A" w:rsidP="0044264A">
      <w:pPr>
        <w:spacing w:after="160" w:line="259" w:lineRule="auto"/>
        <w:ind w:left="0" w:right="0" w:firstLine="0"/>
        <w:jc w:val="left"/>
        <w:rPr>
          <w:rFonts w:eastAsiaTheme="minorHAnsi"/>
          <w:color w:val="auto"/>
          <w:szCs w:val="24"/>
          <w:lang w:eastAsia="en-US"/>
        </w:rPr>
      </w:pPr>
    </w:p>
    <w:p w14:paraId="3C39CE29"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10A6BFD5"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lastRenderedPageBreak/>
        <w:t>Tabela 25 – Variação dos taninos para a polpa</w:t>
      </w:r>
    </w:p>
    <w:p w14:paraId="681A060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5A2DF16A" wp14:editId="2F935A22">
            <wp:extent cx="3048000" cy="1590675"/>
            <wp:effectExtent l="0" t="0" r="0" b="9525"/>
            <wp:docPr id="196" name="Imagem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048000" cy="1590675"/>
                    </a:xfrm>
                    <a:prstGeom prst="rect">
                      <a:avLst/>
                    </a:prstGeom>
                    <a:noFill/>
                    <a:ln>
                      <a:noFill/>
                    </a:ln>
                  </pic:spPr>
                </pic:pic>
              </a:graphicData>
            </a:graphic>
          </wp:inline>
        </w:drawing>
      </w:r>
    </w:p>
    <w:p w14:paraId="4966F8FD"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0E6ADAB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3454E83C"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Tabela 26 – Variação do teor de fibra para a casca</w:t>
      </w:r>
    </w:p>
    <w:p w14:paraId="385E0C28"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noProof/>
          <w:color w:val="auto"/>
          <w:szCs w:val="24"/>
        </w:rPr>
        <w:drawing>
          <wp:inline distT="0" distB="0" distL="0" distR="0" wp14:anchorId="42F59009" wp14:editId="61A38042">
            <wp:extent cx="4171950" cy="1600200"/>
            <wp:effectExtent l="0" t="0" r="0" b="0"/>
            <wp:docPr id="197" name="Imagem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171950" cy="1600200"/>
                    </a:xfrm>
                    <a:prstGeom prst="rect">
                      <a:avLst/>
                    </a:prstGeom>
                    <a:noFill/>
                    <a:ln>
                      <a:noFill/>
                    </a:ln>
                  </pic:spPr>
                </pic:pic>
              </a:graphicData>
            </a:graphic>
          </wp:inline>
        </w:drawing>
      </w:r>
    </w:p>
    <w:p w14:paraId="0B052384" w14:textId="77777777" w:rsidR="0044264A" w:rsidRPr="0044264A" w:rsidRDefault="0044264A" w:rsidP="0044264A">
      <w:pPr>
        <w:spacing w:after="160" w:line="259" w:lineRule="auto"/>
        <w:ind w:left="0" w:right="0" w:firstLine="0"/>
        <w:jc w:val="left"/>
        <w:rPr>
          <w:rFonts w:eastAsiaTheme="minorHAnsi"/>
          <w:color w:val="auto"/>
          <w:szCs w:val="24"/>
          <w:lang w:eastAsia="en-US"/>
        </w:rPr>
      </w:pPr>
    </w:p>
    <w:p w14:paraId="5F302F48" w14:textId="77777777" w:rsidR="0044264A" w:rsidRPr="0044264A" w:rsidRDefault="0044264A" w:rsidP="0044264A">
      <w:pPr>
        <w:spacing w:after="160" w:line="259" w:lineRule="auto"/>
        <w:ind w:left="0" w:right="0" w:firstLine="0"/>
        <w:jc w:val="left"/>
        <w:rPr>
          <w:rFonts w:eastAsiaTheme="minorHAnsi"/>
          <w:color w:val="auto"/>
          <w:szCs w:val="24"/>
          <w:lang w:eastAsia="en-US"/>
        </w:rPr>
      </w:pPr>
      <w:r w:rsidRPr="0044264A">
        <w:rPr>
          <w:rFonts w:eastAsiaTheme="minorHAnsi"/>
          <w:color w:val="auto"/>
          <w:szCs w:val="24"/>
          <w:lang w:eastAsia="en-US"/>
        </w:rPr>
        <w:t xml:space="preserve">Tabela 27 </w:t>
      </w:r>
      <w:proofErr w:type="gramStart"/>
      <w:r w:rsidRPr="0044264A">
        <w:rPr>
          <w:rFonts w:eastAsiaTheme="minorHAnsi"/>
          <w:color w:val="auto"/>
          <w:szCs w:val="24"/>
          <w:lang w:eastAsia="en-US"/>
        </w:rPr>
        <w:t>-  Variação</w:t>
      </w:r>
      <w:proofErr w:type="gramEnd"/>
      <w:r w:rsidRPr="0044264A">
        <w:rPr>
          <w:rFonts w:eastAsiaTheme="minorHAnsi"/>
          <w:color w:val="auto"/>
          <w:szCs w:val="24"/>
          <w:lang w:eastAsia="en-US"/>
        </w:rPr>
        <w:t xml:space="preserve"> do teor da fibra para a polpa</w:t>
      </w:r>
      <w:r w:rsidRPr="0044264A">
        <w:rPr>
          <w:rFonts w:eastAsiaTheme="minorHAnsi"/>
          <w:noProof/>
          <w:color w:val="auto"/>
          <w:szCs w:val="24"/>
        </w:rPr>
        <w:drawing>
          <wp:inline distT="0" distB="0" distL="0" distR="0" wp14:anchorId="587C5FC2" wp14:editId="36727204">
            <wp:extent cx="2343150" cy="1885950"/>
            <wp:effectExtent l="0" t="0" r="0" b="0"/>
            <wp:docPr id="198" name="Imagem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43150" cy="1885950"/>
                    </a:xfrm>
                    <a:prstGeom prst="rect">
                      <a:avLst/>
                    </a:prstGeom>
                    <a:noFill/>
                    <a:ln>
                      <a:noFill/>
                    </a:ln>
                  </pic:spPr>
                </pic:pic>
              </a:graphicData>
            </a:graphic>
          </wp:inline>
        </w:drawing>
      </w:r>
    </w:p>
    <w:p w14:paraId="5692BD10" w14:textId="77777777" w:rsidR="0044264A" w:rsidRPr="00743AB9" w:rsidRDefault="0044264A" w:rsidP="0044264A">
      <w:pPr>
        <w:spacing w:line="360" w:lineRule="auto"/>
        <w:ind w:left="0" w:right="-1" w:firstLine="0"/>
        <w:rPr>
          <w:color w:val="auto"/>
        </w:rPr>
      </w:pPr>
    </w:p>
    <w:sectPr w:rsidR="0044264A" w:rsidRPr="00743AB9" w:rsidSect="00232E7F">
      <w:pgSz w:w="11906" w:h="16838"/>
      <w:pgMar w:top="1417" w:right="1701" w:bottom="1417" w:left="1701" w:header="708" w:footer="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110A14" w14:textId="77777777" w:rsidR="00805B44" w:rsidRDefault="00805B44" w:rsidP="00743AB9">
      <w:pPr>
        <w:spacing w:after="0" w:line="240" w:lineRule="auto"/>
      </w:pPr>
      <w:r>
        <w:separator/>
      </w:r>
    </w:p>
  </w:endnote>
  <w:endnote w:type="continuationSeparator" w:id="0">
    <w:p w14:paraId="36E00299" w14:textId="77777777" w:rsidR="00805B44" w:rsidRDefault="00805B44" w:rsidP="00743A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2490020"/>
      <w:docPartObj>
        <w:docPartGallery w:val="Page Numbers (Bottom of Page)"/>
        <w:docPartUnique/>
      </w:docPartObj>
    </w:sdtPr>
    <w:sdtEndPr/>
    <w:sdtContent>
      <w:p w14:paraId="04997267" w14:textId="77777777" w:rsidR="00703FCF" w:rsidRDefault="00703FCF">
        <w:pPr>
          <w:pStyle w:val="Rodap"/>
          <w:jc w:val="right"/>
        </w:pPr>
        <w:r>
          <w:fldChar w:fldCharType="begin"/>
        </w:r>
        <w:r>
          <w:instrText>PAGE   \* MERGEFORMAT</w:instrText>
        </w:r>
        <w:r>
          <w:fldChar w:fldCharType="separate"/>
        </w:r>
        <w:r>
          <w:rPr>
            <w:noProof/>
          </w:rPr>
          <w:t>1</w:t>
        </w:r>
        <w:r>
          <w:fldChar w:fldCharType="end"/>
        </w:r>
      </w:p>
    </w:sdtContent>
  </w:sdt>
  <w:p w14:paraId="0DC692D1" w14:textId="77777777" w:rsidR="00703FCF" w:rsidRDefault="00703FCF">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9498928"/>
      <w:docPartObj>
        <w:docPartGallery w:val="Page Numbers (Bottom of Page)"/>
        <w:docPartUnique/>
      </w:docPartObj>
    </w:sdtPr>
    <w:sdtEndPr/>
    <w:sdtContent>
      <w:p w14:paraId="54DFEECE" w14:textId="485B8C37" w:rsidR="00703FCF" w:rsidRDefault="00703FCF">
        <w:pPr>
          <w:pStyle w:val="Rodap"/>
          <w:jc w:val="right"/>
        </w:pPr>
        <w:r>
          <w:ptab w:relativeTo="margin" w:alignment="right" w:leader="none"/>
        </w:r>
        <w:r>
          <w:fldChar w:fldCharType="begin"/>
        </w:r>
        <w:r>
          <w:instrText>PAGE   \* MERGEFORMAT</w:instrText>
        </w:r>
        <w:r>
          <w:fldChar w:fldCharType="separate"/>
        </w:r>
        <w:r w:rsidR="00B50684">
          <w:rPr>
            <w:noProof/>
          </w:rPr>
          <w:t>2</w:t>
        </w:r>
        <w:r>
          <w:fldChar w:fldCharType="end"/>
        </w:r>
        <w:proofErr w:type="gramStart"/>
        <w:proofErr w:type="gramEnd"/>
      </w:p>
    </w:sdtContent>
  </w:sdt>
  <w:p w14:paraId="2DD9369E" w14:textId="77777777" w:rsidR="00703FCF" w:rsidRDefault="00703FCF" w:rsidP="00232E7F">
    <w:pPr>
      <w:pStyle w:val="Rodap"/>
      <w:jc w:val="right"/>
    </w:pPr>
  </w:p>
  <w:p w14:paraId="011126D1" w14:textId="77777777" w:rsidR="00703FCF" w:rsidRDefault="00703FCF"/>
  <w:p w14:paraId="0A0AC41F" w14:textId="77777777" w:rsidR="00703FCF" w:rsidRDefault="00703FCF" w:rsidP="00714D34">
    <w:pPr>
      <w:tabs>
        <w:tab w:val="left" w:pos="3330"/>
        <w:tab w:val="right" w:pos="7695"/>
      </w:tabs>
    </w:pPr>
    <w:r>
      <w:tab/>
    </w:r>
    <w:r>
      <w:tab/>
    </w:r>
    <w:r>
      <w:tab/>
    </w:r>
  </w:p>
  <w:p w14:paraId="5A128279" w14:textId="77777777" w:rsidR="00703FCF" w:rsidRDefault="00703FCF"/>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451572"/>
      <w:docPartObj>
        <w:docPartGallery w:val="Page Numbers (Bottom of Page)"/>
        <w:docPartUnique/>
      </w:docPartObj>
    </w:sdtPr>
    <w:sdtEndPr/>
    <w:sdtContent>
      <w:p w14:paraId="705A276E" w14:textId="77777777" w:rsidR="00703FCF" w:rsidRDefault="00703FCF" w:rsidP="00232E7F">
        <w:pPr>
          <w:pStyle w:val="Rodap"/>
          <w:tabs>
            <w:tab w:val="left" w:pos="7513"/>
          </w:tabs>
          <w:ind w:right="-1"/>
          <w:jc w:val="right"/>
        </w:pPr>
        <w:r>
          <w:ptab w:relativeTo="margin" w:alignment="right" w:leader="none"/>
        </w:r>
        <w:r>
          <w:fldChar w:fldCharType="begin"/>
        </w:r>
        <w:r>
          <w:instrText>PAGE   \* MERGEFORMAT</w:instrText>
        </w:r>
        <w:r>
          <w:fldChar w:fldCharType="separate"/>
        </w:r>
        <w:r>
          <w:rPr>
            <w:noProof/>
          </w:rPr>
          <w:t>1</w:t>
        </w:r>
        <w:r>
          <w:fldChar w:fldCharType="end"/>
        </w:r>
      </w:p>
    </w:sdtContent>
  </w:sdt>
  <w:p w14:paraId="4DA7A5AA" w14:textId="77777777" w:rsidR="00703FCF" w:rsidRDefault="00703FCF">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93A5C8" w14:textId="77777777" w:rsidR="00805B44" w:rsidRDefault="00805B44" w:rsidP="00743AB9">
      <w:pPr>
        <w:spacing w:after="0" w:line="240" w:lineRule="auto"/>
      </w:pPr>
      <w:r>
        <w:separator/>
      </w:r>
    </w:p>
  </w:footnote>
  <w:footnote w:type="continuationSeparator" w:id="0">
    <w:p w14:paraId="7E12462F" w14:textId="77777777" w:rsidR="00805B44" w:rsidRDefault="00805B44" w:rsidP="00743A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435269" w14:textId="77777777" w:rsidR="00703FCF" w:rsidRDefault="00703FCF" w:rsidP="00714D34">
    <w:pPr>
      <w:pStyle w:val="Cabealho"/>
      <w:tabs>
        <w:tab w:val="clear" w:pos="4252"/>
        <w:tab w:val="clear" w:pos="8504"/>
        <w:tab w:val="left" w:pos="3120"/>
      </w:tabs>
    </w:pP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53EB09" w14:textId="77777777" w:rsidR="00703FCF" w:rsidRDefault="00703FCF" w:rsidP="00714D34">
    <w:pPr>
      <w:pStyle w:val="Cabealho"/>
      <w:tabs>
        <w:tab w:val="clear" w:pos="4252"/>
        <w:tab w:val="clear" w:pos="8504"/>
        <w:tab w:val="left" w:pos="3120"/>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D2242F"/>
    <w:multiLevelType w:val="hybridMultilevel"/>
    <w:tmpl w:val="8CF2A0FC"/>
    <w:lvl w:ilvl="0" w:tplc="C9AEB3A0">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38DB7354"/>
    <w:multiLevelType w:val="hybridMultilevel"/>
    <w:tmpl w:val="1DFE07C2"/>
    <w:lvl w:ilvl="0" w:tplc="E81652DC">
      <w:start w:val="1"/>
      <w:numFmt w:val="lowerLetter"/>
      <w:lvlText w:val="%1)"/>
      <w:lvlJc w:val="left"/>
      <w:pPr>
        <w:ind w:left="502" w:hanging="360"/>
      </w:pPr>
      <w:rPr>
        <w:rFonts w:eastAsiaTheme="minorHAnsi"/>
      </w:rPr>
    </w:lvl>
    <w:lvl w:ilvl="1" w:tplc="08160019">
      <w:start w:val="1"/>
      <w:numFmt w:val="lowerLetter"/>
      <w:lvlText w:val="%2."/>
      <w:lvlJc w:val="left"/>
      <w:pPr>
        <w:ind w:left="1222" w:hanging="360"/>
      </w:pPr>
    </w:lvl>
    <w:lvl w:ilvl="2" w:tplc="0816001B">
      <w:start w:val="1"/>
      <w:numFmt w:val="lowerRoman"/>
      <w:lvlText w:val="%3."/>
      <w:lvlJc w:val="right"/>
      <w:pPr>
        <w:ind w:left="1942" w:hanging="180"/>
      </w:pPr>
    </w:lvl>
    <w:lvl w:ilvl="3" w:tplc="0816000F">
      <w:start w:val="1"/>
      <w:numFmt w:val="decimal"/>
      <w:lvlText w:val="%4."/>
      <w:lvlJc w:val="left"/>
      <w:pPr>
        <w:ind w:left="2662" w:hanging="360"/>
      </w:pPr>
    </w:lvl>
    <w:lvl w:ilvl="4" w:tplc="08160019">
      <w:start w:val="1"/>
      <w:numFmt w:val="lowerLetter"/>
      <w:lvlText w:val="%5."/>
      <w:lvlJc w:val="left"/>
      <w:pPr>
        <w:ind w:left="3382" w:hanging="360"/>
      </w:pPr>
    </w:lvl>
    <w:lvl w:ilvl="5" w:tplc="0816001B">
      <w:start w:val="1"/>
      <w:numFmt w:val="lowerRoman"/>
      <w:lvlText w:val="%6."/>
      <w:lvlJc w:val="right"/>
      <w:pPr>
        <w:ind w:left="4102" w:hanging="180"/>
      </w:pPr>
    </w:lvl>
    <w:lvl w:ilvl="6" w:tplc="0816000F">
      <w:start w:val="1"/>
      <w:numFmt w:val="decimal"/>
      <w:lvlText w:val="%7."/>
      <w:lvlJc w:val="left"/>
      <w:pPr>
        <w:ind w:left="4822" w:hanging="360"/>
      </w:pPr>
    </w:lvl>
    <w:lvl w:ilvl="7" w:tplc="08160019">
      <w:start w:val="1"/>
      <w:numFmt w:val="lowerLetter"/>
      <w:lvlText w:val="%8."/>
      <w:lvlJc w:val="left"/>
      <w:pPr>
        <w:ind w:left="5542" w:hanging="360"/>
      </w:pPr>
    </w:lvl>
    <w:lvl w:ilvl="8" w:tplc="0816001B">
      <w:start w:val="1"/>
      <w:numFmt w:val="lowerRoman"/>
      <w:lvlText w:val="%9."/>
      <w:lvlJc w:val="right"/>
      <w:pPr>
        <w:ind w:left="6262" w:hanging="180"/>
      </w:pPr>
    </w:lvl>
  </w:abstractNum>
  <w:abstractNum w:abstractNumId="2">
    <w:nsid w:val="43F71B73"/>
    <w:multiLevelType w:val="hybridMultilevel"/>
    <w:tmpl w:val="66008D6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7D4516C0"/>
    <w:multiLevelType w:val="multilevel"/>
    <w:tmpl w:val="199844E6"/>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800" w:hanging="144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2160" w:hanging="1800"/>
      </w:pPr>
      <w:rPr>
        <w:rFonts w:hint="default"/>
        <w:color w:val="auto"/>
      </w:rPr>
    </w:lvl>
    <w:lvl w:ilvl="8">
      <w:start w:val="1"/>
      <w:numFmt w:val="decimal"/>
      <w:isLgl/>
      <w:lvlText w:val="%1.%2.%3.%4.%5.%6.%7.%8.%9"/>
      <w:lvlJc w:val="left"/>
      <w:pPr>
        <w:ind w:left="2160" w:hanging="1800"/>
      </w:pPr>
      <w:rPr>
        <w:rFonts w:hint="default"/>
        <w:color w:val="auto"/>
      </w:rPr>
    </w:lvl>
  </w:abstractNum>
  <w:num w:numId="1">
    <w:abstractNumId w:val="2"/>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AB9"/>
    <w:rsid w:val="000025A2"/>
    <w:rsid w:val="0000378A"/>
    <w:rsid w:val="00012A97"/>
    <w:rsid w:val="00012FCA"/>
    <w:rsid w:val="00017536"/>
    <w:rsid w:val="00032CE7"/>
    <w:rsid w:val="00034C18"/>
    <w:rsid w:val="00044165"/>
    <w:rsid w:val="00047AA9"/>
    <w:rsid w:val="000500E7"/>
    <w:rsid w:val="00071EF0"/>
    <w:rsid w:val="00072D34"/>
    <w:rsid w:val="0008168B"/>
    <w:rsid w:val="000838BD"/>
    <w:rsid w:val="00084563"/>
    <w:rsid w:val="000871BF"/>
    <w:rsid w:val="000A567F"/>
    <w:rsid w:val="000A5C28"/>
    <w:rsid w:val="000A61C6"/>
    <w:rsid w:val="000A77F2"/>
    <w:rsid w:val="000B7EBA"/>
    <w:rsid w:val="000C1161"/>
    <w:rsid w:val="000C34CE"/>
    <w:rsid w:val="000D3AF6"/>
    <w:rsid w:val="000D680F"/>
    <w:rsid w:val="000E1A1D"/>
    <w:rsid w:val="000E3C44"/>
    <w:rsid w:val="000E7A76"/>
    <w:rsid w:val="00102607"/>
    <w:rsid w:val="00103F73"/>
    <w:rsid w:val="0010715E"/>
    <w:rsid w:val="00114D09"/>
    <w:rsid w:val="00117EEE"/>
    <w:rsid w:val="001308E1"/>
    <w:rsid w:val="00132EFB"/>
    <w:rsid w:val="00135EE0"/>
    <w:rsid w:val="001473CE"/>
    <w:rsid w:val="00154A19"/>
    <w:rsid w:val="00157020"/>
    <w:rsid w:val="00166370"/>
    <w:rsid w:val="00170389"/>
    <w:rsid w:val="001720C6"/>
    <w:rsid w:val="00172F16"/>
    <w:rsid w:val="00181954"/>
    <w:rsid w:val="00192038"/>
    <w:rsid w:val="001939AB"/>
    <w:rsid w:val="00197BE9"/>
    <w:rsid w:val="001A660D"/>
    <w:rsid w:val="001B1D58"/>
    <w:rsid w:val="001C09FA"/>
    <w:rsid w:val="001C47BE"/>
    <w:rsid w:val="001D47A4"/>
    <w:rsid w:val="001E7BE9"/>
    <w:rsid w:val="00205D95"/>
    <w:rsid w:val="00210EF1"/>
    <w:rsid w:val="00217C56"/>
    <w:rsid w:val="00221959"/>
    <w:rsid w:val="00223DCC"/>
    <w:rsid w:val="002264EE"/>
    <w:rsid w:val="00232E7F"/>
    <w:rsid w:val="00233E9A"/>
    <w:rsid w:val="002415D6"/>
    <w:rsid w:val="00245365"/>
    <w:rsid w:val="002521DE"/>
    <w:rsid w:val="002638F7"/>
    <w:rsid w:val="00270850"/>
    <w:rsid w:val="00281EFA"/>
    <w:rsid w:val="00282421"/>
    <w:rsid w:val="00285E39"/>
    <w:rsid w:val="00291CEE"/>
    <w:rsid w:val="002956A4"/>
    <w:rsid w:val="002A18D9"/>
    <w:rsid w:val="002A6AF3"/>
    <w:rsid w:val="002B2CDE"/>
    <w:rsid w:val="002B419D"/>
    <w:rsid w:val="002C6A62"/>
    <w:rsid w:val="002D0458"/>
    <w:rsid w:val="002D32B8"/>
    <w:rsid w:val="002E5533"/>
    <w:rsid w:val="002F1C46"/>
    <w:rsid w:val="002F2F4D"/>
    <w:rsid w:val="003051F0"/>
    <w:rsid w:val="0030708C"/>
    <w:rsid w:val="00310D13"/>
    <w:rsid w:val="00310D60"/>
    <w:rsid w:val="00315BA2"/>
    <w:rsid w:val="00320963"/>
    <w:rsid w:val="00321565"/>
    <w:rsid w:val="00324BEC"/>
    <w:rsid w:val="00330336"/>
    <w:rsid w:val="0033358E"/>
    <w:rsid w:val="00334797"/>
    <w:rsid w:val="00336D9E"/>
    <w:rsid w:val="003516A7"/>
    <w:rsid w:val="00353620"/>
    <w:rsid w:val="00354F52"/>
    <w:rsid w:val="00355745"/>
    <w:rsid w:val="00355D57"/>
    <w:rsid w:val="00357FB5"/>
    <w:rsid w:val="00363D0D"/>
    <w:rsid w:val="003731B4"/>
    <w:rsid w:val="003901BE"/>
    <w:rsid w:val="003B06E3"/>
    <w:rsid w:val="003B7FC9"/>
    <w:rsid w:val="003C1B43"/>
    <w:rsid w:val="003C435A"/>
    <w:rsid w:val="003E7775"/>
    <w:rsid w:val="003F49B4"/>
    <w:rsid w:val="00401458"/>
    <w:rsid w:val="00404928"/>
    <w:rsid w:val="00404C3C"/>
    <w:rsid w:val="00405D31"/>
    <w:rsid w:val="0042246F"/>
    <w:rsid w:val="004274E9"/>
    <w:rsid w:val="0044264A"/>
    <w:rsid w:val="00442AC5"/>
    <w:rsid w:val="00443A0B"/>
    <w:rsid w:val="004442CE"/>
    <w:rsid w:val="0045472E"/>
    <w:rsid w:val="00454889"/>
    <w:rsid w:val="00460654"/>
    <w:rsid w:val="004638D6"/>
    <w:rsid w:val="00465E4A"/>
    <w:rsid w:val="00470C21"/>
    <w:rsid w:val="00474A4A"/>
    <w:rsid w:val="00474F8E"/>
    <w:rsid w:val="00476330"/>
    <w:rsid w:val="004852EB"/>
    <w:rsid w:val="00493CF9"/>
    <w:rsid w:val="004B0138"/>
    <w:rsid w:val="004C0F6E"/>
    <w:rsid w:val="004C183F"/>
    <w:rsid w:val="004C2ADC"/>
    <w:rsid w:val="004C50CC"/>
    <w:rsid w:val="004C5794"/>
    <w:rsid w:val="004D6010"/>
    <w:rsid w:val="004D6C6A"/>
    <w:rsid w:val="004D72DC"/>
    <w:rsid w:val="004E1670"/>
    <w:rsid w:val="004E4759"/>
    <w:rsid w:val="004F47F5"/>
    <w:rsid w:val="00500085"/>
    <w:rsid w:val="0050079E"/>
    <w:rsid w:val="00501561"/>
    <w:rsid w:val="005107C1"/>
    <w:rsid w:val="0051743A"/>
    <w:rsid w:val="00526AB1"/>
    <w:rsid w:val="005332B9"/>
    <w:rsid w:val="00534442"/>
    <w:rsid w:val="00537F0C"/>
    <w:rsid w:val="00542CFE"/>
    <w:rsid w:val="005446D4"/>
    <w:rsid w:val="00545429"/>
    <w:rsid w:val="0056254C"/>
    <w:rsid w:val="00570002"/>
    <w:rsid w:val="0057093F"/>
    <w:rsid w:val="00572C9F"/>
    <w:rsid w:val="005740C8"/>
    <w:rsid w:val="005745BD"/>
    <w:rsid w:val="0058262F"/>
    <w:rsid w:val="005863D5"/>
    <w:rsid w:val="00595DB0"/>
    <w:rsid w:val="00595FD7"/>
    <w:rsid w:val="005A1FA8"/>
    <w:rsid w:val="005A7934"/>
    <w:rsid w:val="005B54E2"/>
    <w:rsid w:val="005B7003"/>
    <w:rsid w:val="005C4B66"/>
    <w:rsid w:val="005C7D9B"/>
    <w:rsid w:val="005D05A5"/>
    <w:rsid w:val="005E1F34"/>
    <w:rsid w:val="005E34F6"/>
    <w:rsid w:val="005E3819"/>
    <w:rsid w:val="005E7B09"/>
    <w:rsid w:val="005F28B4"/>
    <w:rsid w:val="005F52F8"/>
    <w:rsid w:val="005F563F"/>
    <w:rsid w:val="0060682F"/>
    <w:rsid w:val="00611803"/>
    <w:rsid w:val="00613110"/>
    <w:rsid w:val="00616D64"/>
    <w:rsid w:val="00621A43"/>
    <w:rsid w:val="00622322"/>
    <w:rsid w:val="0063100E"/>
    <w:rsid w:val="00635E4E"/>
    <w:rsid w:val="0063657B"/>
    <w:rsid w:val="006369FA"/>
    <w:rsid w:val="0064084D"/>
    <w:rsid w:val="00641056"/>
    <w:rsid w:val="00656835"/>
    <w:rsid w:val="00665260"/>
    <w:rsid w:val="006665D1"/>
    <w:rsid w:val="00675537"/>
    <w:rsid w:val="00676F1F"/>
    <w:rsid w:val="006874A4"/>
    <w:rsid w:val="006A36D8"/>
    <w:rsid w:val="006A68F3"/>
    <w:rsid w:val="006A6F0A"/>
    <w:rsid w:val="006B0568"/>
    <w:rsid w:val="006B4E43"/>
    <w:rsid w:val="006C2067"/>
    <w:rsid w:val="006C5D99"/>
    <w:rsid w:val="006D02BC"/>
    <w:rsid w:val="006D0BB2"/>
    <w:rsid w:val="006D321F"/>
    <w:rsid w:val="006D70C4"/>
    <w:rsid w:val="006E49E1"/>
    <w:rsid w:val="006E49F7"/>
    <w:rsid w:val="006F06B7"/>
    <w:rsid w:val="006F173D"/>
    <w:rsid w:val="00700488"/>
    <w:rsid w:val="00700C0B"/>
    <w:rsid w:val="00703FCF"/>
    <w:rsid w:val="007125BD"/>
    <w:rsid w:val="00714D34"/>
    <w:rsid w:val="007152EC"/>
    <w:rsid w:val="0072481C"/>
    <w:rsid w:val="007251E1"/>
    <w:rsid w:val="0073195D"/>
    <w:rsid w:val="00734E90"/>
    <w:rsid w:val="00734EF5"/>
    <w:rsid w:val="007366C5"/>
    <w:rsid w:val="00737F5D"/>
    <w:rsid w:val="0074050C"/>
    <w:rsid w:val="00743AB9"/>
    <w:rsid w:val="00745734"/>
    <w:rsid w:val="0075120E"/>
    <w:rsid w:val="00762055"/>
    <w:rsid w:val="00762264"/>
    <w:rsid w:val="00770C44"/>
    <w:rsid w:val="0077420B"/>
    <w:rsid w:val="00777EAD"/>
    <w:rsid w:val="00784F2E"/>
    <w:rsid w:val="00785567"/>
    <w:rsid w:val="00793253"/>
    <w:rsid w:val="00797352"/>
    <w:rsid w:val="007A1222"/>
    <w:rsid w:val="007A12A1"/>
    <w:rsid w:val="007A4ADB"/>
    <w:rsid w:val="007B13B3"/>
    <w:rsid w:val="007B176E"/>
    <w:rsid w:val="007B2349"/>
    <w:rsid w:val="007B34A4"/>
    <w:rsid w:val="007B3BF0"/>
    <w:rsid w:val="007B47D8"/>
    <w:rsid w:val="007B5CF2"/>
    <w:rsid w:val="007C0A72"/>
    <w:rsid w:val="007D4A80"/>
    <w:rsid w:val="007D538B"/>
    <w:rsid w:val="007E0D79"/>
    <w:rsid w:val="007E57B2"/>
    <w:rsid w:val="007F1B6E"/>
    <w:rsid w:val="007F723B"/>
    <w:rsid w:val="00800B79"/>
    <w:rsid w:val="00805B44"/>
    <w:rsid w:val="00817173"/>
    <w:rsid w:val="0082033A"/>
    <w:rsid w:val="00824109"/>
    <w:rsid w:val="008335E3"/>
    <w:rsid w:val="00833B18"/>
    <w:rsid w:val="00843A68"/>
    <w:rsid w:val="008474A4"/>
    <w:rsid w:val="008474BA"/>
    <w:rsid w:val="00850C61"/>
    <w:rsid w:val="008720D9"/>
    <w:rsid w:val="00873821"/>
    <w:rsid w:val="00874CB0"/>
    <w:rsid w:val="00882CE6"/>
    <w:rsid w:val="008844D8"/>
    <w:rsid w:val="008A02A0"/>
    <w:rsid w:val="008B18CF"/>
    <w:rsid w:val="008C0453"/>
    <w:rsid w:val="008D5735"/>
    <w:rsid w:val="008E2EF4"/>
    <w:rsid w:val="008E3D70"/>
    <w:rsid w:val="008E4A6F"/>
    <w:rsid w:val="008F2CE5"/>
    <w:rsid w:val="008F538C"/>
    <w:rsid w:val="009010C6"/>
    <w:rsid w:val="00901BBD"/>
    <w:rsid w:val="0090513F"/>
    <w:rsid w:val="009057D9"/>
    <w:rsid w:val="00905C37"/>
    <w:rsid w:val="00917429"/>
    <w:rsid w:val="009229A2"/>
    <w:rsid w:val="0093106A"/>
    <w:rsid w:val="00931C90"/>
    <w:rsid w:val="00935B35"/>
    <w:rsid w:val="0096008D"/>
    <w:rsid w:val="00963950"/>
    <w:rsid w:val="009828DA"/>
    <w:rsid w:val="00983AAB"/>
    <w:rsid w:val="009A0846"/>
    <w:rsid w:val="009A2884"/>
    <w:rsid w:val="009A72E6"/>
    <w:rsid w:val="009B1726"/>
    <w:rsid w:val="009B20C1"/>
    <w:rsid w:val="009C1BE2"/>
    <w:rsid w:val="009C43B5"/>
    <w:rsid w:val="009C7076"/>
    <w:rsid w:val="009C7CA4"/>
    <w:rsid w:val="009D57AB"/>
    <w:rsid w:val="009D6134"/>
    <w:rsid w:val="009E4A9F"/>
    <w:rsid w:val="009F1203"/>
    <w:rsid w:val="00A007F6"/>
    <w:rsid w:val="00A02E08"/>
    <w:rsid w:val="00A145F3"/>
    <w:rsid w:val="00A33331"/>
    <w:rsid w:val="00A33D62"/>
    <w:rsid w:val="00A41C22"/>
    <w:rsid w:val="00A44C2B"/>
    <w:rsid w:val="00A469EE"/>
    <w:rsid w:val="00A50070"/>
    <w:rsid w:val="00A523A3"/>
    <w:rsid w:val="00A5732D"/>
    <w:rsid w:val="00A75AB6"/>
    <w:rsid w:val="00A75CFD"/>
    <w:rsid w:val="00A841BA"/>
    <w:rsid w:val="00A85F20"/>
    <w:rsid w:val="00A93383"/>
    <w:rsid w:val="00A9472C"/>
    <w:rsid w:val="00AA7FF1"/>
    <w:rsid w:val="00AB6848"/>
    <w:rsid w:val="00AC2176"/>
    <w:rsid w:val="00AC44FA"/>
    <w:rsid w:val="00AC6D61"/>
    <w:rsid w:val="00AD00BF"/>
    <w:rsid w:val="00AD0789"/>
    <w:rsid w:val="00AE059F"/>
    <w:rsid w:val="00AE4397"/>
    <w:rsid w:val="00AF1AF1"/>
    <w:rsid w:val="00AF3406"/>
    <w:rsid w:val="00AF5F9A"/>
    <w:rsid w:val="00B50684"/>
    <w:rsid w:val="00B57EDE"/>
    <w:rsid w:val="00B62C2E"/>
    <w:rsid w:val="00B71259"/>
    <w:rsid w:val="00B815C5"/>
    <w:rsid w:val="00B836E4"/>
    <w:rsid w:val="00B9742B"/>
    <w:rsid w:val="00BA1BAF"/>
    <w:rsid w:val="00BA56ED"/>
    <w:rsid w:val="00BB66BB"/>
    <w:rsid w:val="00BC0CEB"/>
    <w:rsid w:val="00BC4D2E"/>
    <w:rsid w:val="00BC4D48"/>
    <w:rsid w:val="00BC6116"/>
    <w:rsid w:val="00BD1ECB"/>
    <w:rsid w:val="00BD5DCD"/>
    <w:rsid w:val="00BD60DB"/>
    <w:rsid w:val="00BE06F2"/>
    <w:rsid w:val="00BE6EE7"/>
    <w:rsid w:val="00C00B8B"/>
    <w:rsid w:val="00C01FEE"/>
    <w:rsid w:val="00C055E8"/>
    <w:rsid w:val="00C4111F"/>
    <w:rsid w:val="00C44F98"/>
    <w:rsid w:val="00C46986"/>
    <w:rsid w:val="00C50FD2"/>
    <w:rsid w:val="00C66473"/>
    <w:rsid w:val="00C676DB"/>
    <w:rsid w:val="00C750EA"/>
    <w:rsid w:val="00C75BBE"/>
    <w:rsid w:val="00C76834"/>
    <w:rsid w:val="00C769BE"/>
    <w:rsid w:val="00C819CE"/>
    <w:rsid w:val="00CA357A"/>
    <w:rsid w:val="00CA71F2"/>
    <w:rsid w:val="00CB65C5"/>
    <w:rsid w:val="00CC481D"/>
    <w:rsid w:val="00CE7FD0"/>
    <w:rsid w:val="00CF14F3"/>
    <w:rsid w:val="00CF2291"/>
    <w:rsid w:val="00CF6374"/>
    <w:rsid w:val="00CF7317"/>
    <w:rsid w:val="00D0005E"/>
    <w:rsid w:val="00D01C4F"/>
    <w:rsid w:val="00D03A03"/>
    <w:rsid w:val="00D0590E"/>
    <w:rsid w:val="00D10A2D"/>
    <w:rsid w:val="00D14810"/>
    <w:rsid w:val="00D17D64"/>
    <w:rsid w:val="00D21D22"/>
    <w:rsid w:val="00D36D72"/>
    <w:rsid w:val="00D413A1"/>
    <w:rsid w:val="00D4302C"/>
    <w:rsid w:val="00D434AF"/>
    <w:rsid w:val="00D444B9"/>
    <w:rsid w:val="00D70225"/>
    <w:rsid w:val="00D71C21"/>
    <w:rsid w:val="00D73AD0"/>
    <w:rsid w:val="00D8403E"/>
    <w:rsid w:val="00D87431"/>
    <w:rsid w:val="00D8792D"/>
    <w:rsid w:val="00D87BF3"/>
    <w:rsid w:val="00DA0A89"/>
    <w:rsid w:val="00DA258C"/>
    <w:rsid w:val="00DA4FDB"/>
    <w:rsid w:val="00DA79C5"/>
    <w:rsid w:val="00DB55F5"/>
    <w:rsid w:val="00DC4014"/>
    <w:rsid w:val="00DC5888"/>
    <w:rsid w:val="00DC746F"/>
    <w:rsid w:val="00DC7470"/>
    <w:rsid w:val="00DD059B"/>
    <w:rsid w:val="00DD3B1C"/>
    <w:rsid w:val="00DE0A73"/>
    <w:rsid w:val="00DF5E13"/>
    <w:rsid w:val="00E00BBA"/>
    <w:rsid w:val="00E0270A"/>
    <w:rsid w:val="00E056C4"/>
    <w:rsid w:val="00E06939"/>
    <w:rsid w:val="00E07E7A"/>
    <w:rsid w:val="00E14462"/>
    <w:rsid w:val="00E16B03"/>
    <w:rsid w:val="00E17F3F"/>
    <w:rsid w:val="00E216B7"/>
    <w:rsid w:val="00E22F98"/>
    <w:rsid w:val="00E3698F"/>
    <w:rsid w:val="00E40C00"/>
    <w:rsid w:val="00E44011"/>
    <w:rsid w:val="00E610D5"/>
    <w:rsid w:val="00E63FA8"/>
    <w:rsid w:val="00E668FB"/>
    <w:rsid w:val="00E75CB2"/>
    <w:rsid w:val="00E84019"/>
    <w:rsid w:val="00E93B70"/>
    <w:rsid w:val="00E94415"/>
    <w:rsid w:val="00E96E23"/>
    <w:rsid w:val="00EA1327"/>
    <w:rsid w:val="00EB060A"/>
    <w:rsid w:val="00EB1819"/>
    <w:rsid w:val="00EB46EE"/>
    <w:rsid w:val="00EC2230"/>
    <w:rsid w:val="00EC366E"/>
    <w:rsid w:val="00EC6D4F"/>
    <w:rsid w:val="00ED337F"/>
    <w:rsid w:val="00ED540E"/>
    <w:rsid w:val="00EE1A1C"/>
    <w:rsid w:val="00EE6365"/>
    <w:rsid w:val="00F01520"/>
    <w:rsid w:val="00F05D18"/>
    <w:rsid w:val="00F12C50"/>
    <w:rsid w:val="00F207E3"/>
    <w:rsid w:val="00F20BAE"/>
    <w:rsid w:val="00F21B1E"/>
    <w:rsid w:val="00F22CD3"/>
    <w:rsid w:val="00F23D4C"/>
    <w:rsid w:val="00F23D90"/>
    <w:rsid w:val="00F40005"/>
    <w:rsid w:val="00F47DE4"/>
    <w:rsid w:val="00F54C57"/>
    <w:rsid w:val="00F56ADF"/>
    <w:rsid w:val="00F56F36"/>
    <w:rsid w:val="00F635E3"/>
    <w:rsid w:val="00F9119E"/>
    <w:rsid w:val="00F95F6F"/>
    <w:rsid w:val="00F968D4"/>
    <w:rsid w:val="00FA2AAD"/>
    <w:rsid w:val="00FA7BC5"/>
    <w:rsid w:val="00FC3BBF"/>
    <w:rsid w:val="00FD7427"/>
    <w:rsid w:val="00FF0B6C"/>
    <w:rsid w:val="00FF14F4"/>
    <w:rsid w:val="00FF2560"/>
    <w:rsid w:val="00FF4CF4"/>
    <w:rsid w:val="00FF4FD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51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AB9"/>
    <w:pPr>
      <w:spacing w:after="3" w:line="358" w:lineRule="auto"/>
      <w:ind w:left="10" w:right="809" w:hanging="10"/>
      <w:jc w:val="both"/>
    </w:pPr>
    <w:rPr>
      <w:rFonts w:ascii="Times New Roman" w:eastAsia="Times New Roman" w:hAnsi="Times New Roman" w:cs="Times New Roman"/>
      <w:color w:val="000000"/>
      <w:sz w:val="24"/>
      <w:lang w:eastAsia="pt-PT"/>
    </w:rPr>
  </w:style>
  <w:style w:type="paragraph" w:styleId="Cabealho1">
    <w:name w:val="heading 1"/>
    <w:basedOn w:val="Normal"/>
    <w:next w:val="Normal"/>
    <w:link w:val="Cabealho1Carcter"/>
    <w:uiPriority w:val="9"/>
    <w:qFormat/>
    <w:rsid w:val="008474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8474B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abealho3">
    <w:name w:val="heading 3"/>
    <w:basedOn w:val="Normal"/>
    <w:next w:val="Normal"/>
    <w:link w:val="Cabealho3Carcter"/>
    <w:uiPriority w:val="9"/>
    <w:unhideWhenUsed/>
    <w:qFormat/>
    <w:rsid w:val="008474BA"/>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Cabealho4">
    <w:name w:val="heading 4"/>
    <w:basedOn w:val="Normal"/>
    <w:next w:val="Normal"/>
    <w:link w:val="Cabealho4Carcter"/>
    <w:uiPriority w:val="9"/>
    <w:unhideWhenUsed/>
    <w:qFormat/>
    <w:rsid w:val="008474B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743AB9"/>
    <w:pPr>
      <w:autoSpaceDE w:val="0"/>
      <w:autoSpaceDN w:val="0"/>
      <w:adjustRightInd w:val="0"/>
      <w:spacing w:after="0" w:line="240" w:lineRule="auto"/>
    </w:pPr>
    <w:rPr>
      <w:rFonts w:ascii="Arial" w:eastAsiaTheme="minorEastAsia" w:hAnsi="Arial" w:cs="Arial"/>
      <w:color w:val="000000"/>
      <w:sz w:val="24"/>
      <w:szCs w:val="24"/>
      <w:lang w:eastAsia="pt-PT"/>
    </w:rPr>
  </w:style>
  <w:style w:type="paragraph" w:styleId="Textodenotadefim">
    <w:name w:val="endnote text"/>
    <w:basedOn w:val="Normal"/>
    <w:link w:val="TextodenotadefimCarcter"/>
    <w:uiPriority w:val="99"/>
    <w:semiHidden/>
    <w:unhideWhenUsed/>
    <w:rsid w:val="00743AB9"/>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743AB9"/>
    <w:rPr>
      <w:rFonts w:ascii="Times New Roman" w:eastAsia="Times New Roman" w:hAnsi="Times New Roman" w:cs="Times New Roman"/>
      <w:color w:val="000000"/>
      <w:sz w:val="20"/>
      <w:szCs w:val="20"/>
      <w:lang w:eastAsia="pt-PT"/>
    </w:rPr>
  </w:style>
  <w:style w:type="character" w:styleId="Refdenotadefim">
    <w:name w:val="endnote reference"/>
    <w:basedOn w:val="Tipodeletrapredefinidodopargrafo"/>
    <w:uiPriority w:val="99"/>
    <w:semiHidden/>
    <w:unhideWhenUsed/>
    <w:rsid w:val="00743AB9"/>
    <w:rPr>
      <w:vertAlign w:val="superscript"/>
    </w:rPr>
  </w:style>
  <w:style w:type="paragraph" w:styleId="Cabealho">
    <w:name w:val="header"/>
    <w:basedOn w:val="Normal"/>
    <w:link w:val="CabealhoCarcter"/>
    <w:uiPriority w:val="99"/>
    <w:unhideWhenUsed/>
    <w:rsid w:val="00743AB9"/>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743AB9"/>
    <w:rPr>
      <w:rFonts w:ascii="Times New Roman" w:eastAsia="Times New Roman" w:hAnsi="Times New Roman" w:cs="Times New Roman"/>
      <w:color w:val="000000"/>
      <w:sz w:val="24"/>
      <w:lang w:eastAsia="pt-PT"/>
    </w:rPr>
  </w:style>
  <w:style w:type="paragraph" w:styleId="Rodap">
    <w:name w:val="footer"/>
    <w:basedOn w:val="Normal"/>
    <w:link w:val="RodapCarcter"/>
    <w:uiPriority w:val="99"/>
    <w:unhideWhenUsed/>
    <w:rsid w:val="00743AB9"/>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743AB9"/>
    <w:rPr>
      <w:rFonts w:ascii="Times New Roman" w:eastAsia="Times New Roman" w:hAnsi="Times New Roman" w:cs="Times New Roman"/>
      <w:color w:val="000000"/>
      <w:sz w:val="24"/>
      <w:lang w:eastAsia="pt-PT"/>
    </w:rPr>
  </w:style>
  <w:style w:type="paragraph" w:styleId="Legenda">
    <w:name w:val="caption"/>
    <w:basedOn w:val="Normal"/>
    <w:next w:val="Normal"/>
    <w:uiPriority w:val="35"/>
    <w:unhideWhenUsed/>
    <w:qFormat/>
    <w:rsid w:val="003516A7"/>
    <w:pPr>
      <w:spacing w:after="200" w:line="240" w:lineRule="auto"/>
    </w:pPr>
    <w:rPr>
      <w:i/>
      <w:iCs/>
      <w:color w:val="44546A" w:themeColor="text2"/>
      <w:sz w:val="18"/>
      <w:szCs w:val="18"/>
    </w:rPr>
  </w:style>
  <w:style w:type="character" w:customStyle="1" w:styleId="Cabealho1Carcter">
    <w:name w:val="Cabeçalho 1 Carácter"/>
    <w:basedOn w:val="Tipodeletrapredefinidodopargrafo"/>
    <w:link w:val="Cabealho1"/>
    <w:uiPriority w:val="9"/>
    <w:rsid w:val="008474BA"/>
    <w:rPr>
      <w:rFonts w:asciiTheme="majorHAnsi" w:eastAsiaTheme="majorEastAsia" w:hAnsiTheme="majorHAnsi" w:cstheme="majorBidi"/>
      <w:color w:val="2E74B5" w:themeColor="accent1" w:themeShade="BF"/>
      <w:sz w:val="32"/>
      <w:szCs w:val="32"/>
      <w:lang w:eastAsia="pt-PT"/>
    </w:rPr>
  </w:style>
  <w:style w:type="character" w:customStyle="1" w:styleId="Cabealho2Carcter">
    <w:name w:val="Cabeçalho 2 Carácter"/>
    <w:basedOn w:val="Tipodeletrapredefinidodopargrafo"/>
    <w:link w:val="Cabealho2"/>
    <w:uiPriority w:val="9"/>
    <w:rsid w:val="008474BA"/>
    <w:rPr>
      <w:rFonts w:asciiTheme="majorHAnsi" w:eastAsiaTheme="majorEastAsia" w:hAnsiTheme="majorHAnsi" w:cstheme="majorBidi"/>
      <w:color w:val="2E74B5" w:themeColor="accent1" w:themeShade="BF"/>
      <w:sz w:val="26"/>
      <w:szCs w:val="26"/>
      <w:lang w:eastAsia="pt-PT"/>
    </w:rPr>
  </w:style>
  <w:style w:type="character" w:customStyle="1" w:styleId="Cabealho3Carcter">
    <w:name w:val="Cabeçalho 3 Carácter"/>
    <w:basedOn w:val="Tipodeletrapredefinidodopargrafo"/>
    <w:link w:val="Cabealho3"/>
    <w:uiPriority w:val="9"/>
    <w:rsid w:val="008474BA"/>
    <w:rPr>
      <w:rFonts w:asciiTheme="majorHAnsi" w:eastAsiaTheme="majorEastAsia" w:hAnsiTheme="majorHAnsi" w:cstheme="majorBidi"/>
      <w:color w:val="1F4D78" w:themeColor="accent1" w:themeShade="7F"/>
      <w:sz w:val="24"/>
      <w:szCs w:val="24"/>
      <w:lang w:eastAsia="pt-PT"/>
    </w:rPr>
  </w:style>
  <w:style w:type="character" w:customStyle="1" w:styleId="Cabealho4Carcter">
    <w:name w:val="Cabeçalho 4 Carácter"/>
    <w:basedOn w:val="Tipodeletrapredefinidodopargrafo"/>
    <w:link w:val="Cabealho4"/>
    <w:uiPriority w:val="9"/>
    <w:rsid w:val="008474BA"/>
    <w:rPr>
      <w:rFonts w:asciiTheme="majorHAnsi" w:eastAsiaTheme="majorEastAsia" w:hAnsiTheme="majorHAnsi" w:cstheme="majorBidi"/>
      <w:i/>
      <w:iCs/>
      <w:color w:val="2E74B5" w:themeColor="accent1" w:themeShade="BF"/>
      <w:sz w:val="24"/>
      <w:lang w:eastAsia="pt-PT"/>
    </w:rPr>
  </w:style>
  <w:style w:type="paragraph" w:styleId="Textodecomentrio">
    <w:name w:val="annotation text"/>
    <w:basedOn w:val="Normal"/>
    <w:link w:val="TextodecomentrioCarcter"/>
    <w:uiPriority w:val="99"/>
    <w:semiHidden/>
    <w:unhideWhenUsed/>
    <w:rsid w:val="007F723B"/>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7F723B"/>
    <w:rPr>
      <w:rFonts w:ascii="Times New Roman" w:eastAsia="Times New Roman" w:hAnsi="Times New Roman" w:cs="Times New Roman"/>
      <w:color w:val="000000"/>
      <w:sz w:val="20"/>
      <w:szCs w:val="20"/>
      <w:lang w:eastAsia="pt-PT"/>
    </w:rPr>
  </w:style>
  <w:style w:type="character" w:styleId="Refdecomentrio">
    <w:name w:val="annotation reference"/>
    <w:basedOn w:val="Tipodeletrapredefinidodopargrafo"/>
    <w:uiPriority w:val="99"/>
    <w:semiHidden/>
    <w:unhideWhenUsed/>
    <w:rsid w:val="007F723B"/>
    <w:rPr>
      <w:sz w:val="16"/>
      <w:szCs w:val="16"/>
    </w:rPr>
  </w:style>
  <w:style w:type="paragraph" w:styleId="Textodebalo">
    <w:name w:val="Balloon Text"/>
    <w:basedOn w:val="Normal"/>
    <w:link w:val="TextodebaloCarcter"/>
    <w:uiPriority w:val="99"/>
    <w:semiHidden/>
    <w:unhideWhenUsed/>
    <w:rsid w:val="007F723B"/>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7F723B"/>
    <w:rPr>
      <w:rFonts w:ascii="Segoe UI" w:eastAsia="Times New Roman" w:hAnsi="Segoe UI" w:cs="Segoe UI"/>
      <w:color w:val="000000"/>
      <w:sz w:val="18"/>
      <w:szCs w:val="18"/>
      <w:lang w:eastAsia="pt-PT"/>
    </w:rPr>
  </w:style>
  <w:style w:type="paragraph" w:styleId="PargrafodaLista">
    <w:name w:val="List Paragraph"/>
    <w:basedOn w:val="Normal"/>
    <w:uiPriority w:val="34"/>
    <w:qFormat/>
    <w:rsid w:val="0044264A"/>
    <w:pPr>
      <w:ind w:left="720"/>
      <w:contextualSpacing/>
    </w:pPr>
  </w:style>
  <w:style w:type="paragraph" w:styleId="Ttulodondice">
    <w:name w:val="TOC Heading"/>
    <w:basedOn w:val="Cabealho1"/>
    <w:next w:val="Normal"/>
    <w:uiPriority w:val="39"/>
    <w:unhideWhenUsed/>
    <w:qFormat/>
    <w:rsid w:val="00793253"/>
    <w:pPr>
      <w:spacing w:line="259" w:lineRule="auto"/>
      <w:ind w:left="0" w:right="0" w:firstLine="0"/>
      <w:jc w:val="left"/>
      <w:outlineLvl w:val="9"/>
    </w:pPr>
  </w:style>
  <w:style w:type="paragraph" w:styleId="ndice1">
    <w:name w:val="toc 1"/>
    <w:basedOn w:val="Normal"/>
    <w:next w:val="Normal"/>
    <w:autoRedefine/>
    <w:uiPriority w:val="39"/>
    <w:unhideWhenUsed/>
    <w:rsid w:val="00793253"/>
    <w:pPr>
      <w:spacing w:after="100"/>
      <w:ind w:left="0"/>
    </w:pPr>
  </w:style>
  <w:style w:type="paragraph" w:styleId="ndice2">
    <w:name w:val="toc 2"/>
    <w:basedOn w:val="Normal"/>
    <w:next w:val="Normal"/>
    <w:autoRedefine/>
    <w:uiPriority w:val="39"/>
    <w:unhideWhenUsed/>
    <w:rsid w:val="00793253"/>
    <w:pPr>
      <w:spacing w:after="100"/>
      <w:ind w:left="240"/>
    </w:pPr>
  </w:style>
  <w:style w:type="paragraph" w:styleId="ndice3">
    <w:name w:val="toc 3"/>
    <w:basedOn w:val="Normal"/>
    <w:next w:val="Normal"/>
    <w:autoRedefine/>
    <w:uiPriority w:val="39"/>
    <w:unhideWhenUsed/>
    <w:rsid w:val="00793253"/>
    <w:pPr>
      <w:spacing w:after="100"/>
      <w:ind w:left="480"/>
    </w:pPr>
  </w:style>
  <w:style w:type="character" w:styleId="Hiperligao">
    <w:name w:val="Hyperlink"/>
    <w:basedOn w:val="Tipodeletrapredefinidodopargrafo"/>
    <w:uiPriority w:val="99"/>
    <w:unhideWhenUsed/>
    <w:rsid w:val="00793253"/>
    <w:rPr>
      <w:color w:val="0563C1" w:themeColor="hyperlink"/>
      <w:u w:val="single"/>
    </w:rPr>
  </w:style>
  <w:style w:type="paragraph" w:styleId="ndice4">
    <w:name w:val="toc 4"/>
    <w:basedOn w:val="Normal"/>
    <w:next w:val="Normal"/>
    <w:autoRedefine/>
    <w:uiPriority w:val="39"/>
    <w:unhideWhenUsed/>
    <w:rsid w:val="00793253"/>
    <w:pPr>
      <w:spacing w:after="100"/>
      <w:ind w:left="720"/>
    </w:pPr>
  </w:style>
  <w:style w:type="paragraph" w:styleId="ndicedeilustraes">
    <w:name w:val="table of figures"/>
    <w:basedOn w:val="Normal"/>
    <w:next w:val="Normal"/>
    <w:uiPriority w:val="99"/>
    <w:unhideWhenUsed/>
    <w:rsid w:val="00793253"/>
    <w:pPr>
      <w:spacing w:after="0"/>
      <w:ind w:left="0"/>
    </w:pPr>
  </w:style>
  <w:style w:type="paragraph" w:styleId="Assuntodecomentrio">
    <w:name w:val="annotation subject"/>
    <w:basedOn w:val="Textodecomentrio"/>
    <w:next w:val="Textodecomentrio"/>
    <w:link w:val="AssuntodecomentrioCarcter"/>
    <w:uiPriority w:val="99"/>
    <w:semiHidden/>
    <w:unhideWhenUsed/>
    <w:rsid w:val="000E1A1D"/>
    <w:rPr>
      <w:b/>
      <w:bCs/>
    </w:rPr>
  </w:style>
  <w:style w:type="character" w:customStyle="1" w:styleId="AssuntodecomentrioCarcter">
    <w:name w:val="Assunto de comentário Carácter"/>
    <w:basedOn w:val="TextodecomentrioCarcter"/>
    <w:link w:val="Assuntodecomentrio"/>
    <w:uiPriority w:val="99"/>
    <w:semiHidden/>
    <w:rsid w:val="000E1A1D"/>
    <w:rPr>
      <w:rFonts w:ascii="Times New Roman" w:eastAsia="Times New Roman" w:hAnsi="Times New Roman" w:cs="Times New Roman"/>
      <w:b/>
      <w:bCs/>
      <w:color w:val="000000"/>
      <w:sz w:val="20"/>
      <w:szCs w:val="20"/>
      <w:lang w:eastAsia="pt-PT"/>
    </w:rPr>
  </w:style>
  <w:style w:type="paragraph" w:styleId="NormalWeb">
    <w:name w:val="Normal (Web)"/>
    <w:basedOn w:val="Normal"/>
    <w:uiPriority w:val="99"/>
    <w:semiHidden/>
    <w:unhideWhenUsed/>
    <w:rsid w:val="00DA79C5"/>
    <w:pPr>
      <w:spacing w:before="100" w:beforeAutospacing="1" w:after="100" w:afterAutospacing="1" w:line="240" w:lineRule="auto"/>
      <w:ind w:left="0" w:right="0" w:firstLine="0"/>
      <w:jc w:val="left"/>
    </w:pPr>
    <w:rPr>
      <w:rFonts w:eastAsiaTheme="minorEastAsia"/>
      <w:color w:val="auto"/>
      <w:szCs w:val="24"/>
    </w:rPr>
  </w:style>
  <w:style w:type="character" w:styleId="nfase">
    <w:name w:val="Emphasis"/>
    <w:basedOn w:val="Tipodeletrapredefinidodopargrafo"/>
    <w:uiPriority w:val="20"/>
    <w:qFormat/>
    <w:rsid w:val="00EC2230"/>
    <w:rPr>
      <w:i/>
      <w:iCs/>
    </w:rPr>
  </w:style>
  <w:style w:type="character" w:customStyle="1" w:styleId="apple-converted-space">
    <w:name w:val="apple-converted-space"/>
    <w:basedOn w:val="Tipodeletrapredefinidodopargrafo"/>
    <w:rsid w:val="00EC2230"/>
  </w:style>
  <w:style w:type="character" w:customStyle="1" w:styleId="ref-journal">
    <w:name w:val="ref-journal"/>
    <w:basedOn w:val="Tipodeletrapredefinidodopargrafo"/>
    <w:rsid w:val="00EC2230"/>
  </w:style>
  <w:style w:type="character" w:customStyle="1" w:styleId="ref-vol">
    <w:name w:val="ref-vol"/>
    <w:basedOn w:val="Tipodeletrapredefinidodopargrafo"/>
    <w:rsid w:val="00EC2230"/>
  </w:style>
  <w:style w:type="paragraph" w:styleId="Reviso">
    <w:name w:val="Revision"/>
    <w:hidden/>
    <w:uiPriority w:val="99"/>
    <w:semiHidden/>
    <w:rsid w:val="00EC2230"/>
    <w:pPr>
      <w:spacing w:after="0" w:line="240" w:lineRule="auto"/>
    </w:pPr>
    <w:rPr>
      <w:rFonts w:ascii="Times New Roman" w:eastAsia="Times New Roman" w:hAnsi="Times New Roman" w:cs="Times New Roman"/>
      <w:color w:val="000000"/>
      <w:sz w:val="24"/>
      <w:lang w:eastAsia="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AB9"/>
    <w:pPr>
      <w:spacing w:after="3" w:line="358" w:lineRule="auto"/>
      <w:ind w:left="10" w:right="809" w:hanging="10"/>
      <w:jc w:val="both"/>
    </w:pPr>
    <w:rPr>
      <w:rFonts w:ascii="Times New Roman" w:eastAsia="Times New Roman" w:hAnsi="Times New Roman" w:cs="Times New Roman"/>
      <w:color w:val="000000"/>
      <w:sz w:val="24"/>
      <w:lang w:eastAsia="pt-PT"/>
    </w:rPr>
  </w:style>
  <w:style w:type="paragraph" w:styleId="Cabealho1">
    <w:name w:val="heading 1"/>
    <w:basedOn w:val="Normal"/>
    <w:next w:val="Normal"/>
    <w:link w:val="Cabealho1Carcter"/>
    <w:uiPriority w:val="9"/>
    <w:qFormat/>
    <w:rsid w:val="008474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8474B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abealho3">
    <w:name w:val="heading 3"/>
    <w:basedOn w:val="Normal"/>
    <w:next w:val="Normal"/>
    <w:link w:val="Cabealho3Carcter"/>
    <w:uiPriority w:val="9"/>
    <w:unhideWhenUsed/>
    <w:qFormat/>
    <w:rsid w:val="008474BA"/>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Cabealho4">
    <w:name w:val="heading 4"/>
    <w:basedOn w:val="Normal"/>
    <w:next w:val="Normal"/>
    <w:link w:val="Cabealho4Carcter"/>
    <w:uiPriority w:val="9"/>
    <w:unhideWhenUsed/>
    <w:qFormat/>
    <w:rsid w:val="008474B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743AB9"/>
    <w:pPr>
      <w:autoSpaceDE w:val="0"/>
      <w:autoSpaceDN w:val="0"/>
      <w:adjustRightInd w:val="0"/>
      <w:spacing w:after="0" w:line="240" w:lineRule="auto"/>
    </w:pPr>
    <w:rPr>
      <w:rFonts w:ascii="Arial" w:eastAsiaTheme="minorEastAsia" w:hAnsi="Arial" w:cs="Arial"/>
      <w:color w:val="000000"/>
      <w:sz w:val="24"/>
      <w:szCs w:val="24"/>
      <w:lang w:eastAsia="pt-PT"/>
    </w:rPr>
  </w:style>
  <w:style w:type="paragraph" w:styleId="Textodenotadefim">
    <w:name w:val="endnote text"/>
    <w:basedOn w:val="Normal"/>
    <w:link w:val="TextodenotadefimCarcter"/>
    <w:uiPriority w:val="99"/>
    <w:semiHidden/>
    <w:unhideWhenUsed/>
    <w:rsid w:val="00743AB9"/>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743AB9"/>
    <w:rPr>
      <w:rFonts w:ascii="Times New Roman" w:eastAsia="Times New Roman" w:hAnsi="Times New Roman" w:cs="Times New Roman"/>
      <w:color w:val="000000"/>
      <w:sz w:val="20"/>
      <w:szCs w:val="20"/>
      <w:lang w:eastAsia="pt-PT"/>
    </w:rPr>
  </w:style>
  <w:style w:type="character" w:styleId="Refdenotadefim">
    <w:name w:val="endnote reference"/>
    <w:basedOn w:val="Tipodeletrapredefinidodopargrafo"/>
    <w:uiPriority w:val="99"/>
    <w:semiHidden/>
    <w:unhideWhenUsed/>
    <w:rsid w:val="00743AB9"/>
    <w:rPr>
      <w:vertAlign w:val="superscript"/>
    </w:rPr>
  </w:style>
  <w:style w:type="paragraph" w:styleId="Cabealho">
    <w:name w:val="header"/>
    <w:basedOn w:val="Normal"/>
    <w:link w:val="CabealhoCarcter"/>
    <w:uiPriority w:val="99"/>
    <w:unhideWhenUsed/>
    <w:rsid w:val="00743AB9"/>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743AB9"/>
    <w:rPr>
      <w:rFonts w:ascii="Times New Roman" w:eastAsia="Times New Roman" w:hAnsi="Times New Roman" w:cs="Times New Roman"/>
      <w:color w:val="000000"/>
      <w:sz w:val="24"/>
      <w:lang w:eastAsia="pt-PT"/>
    </w:rPr>
  </w:style>
  <w:style w:type="paragraph" w:styleId="Rodap">
    <w:name w:val="footer"/>
    <w:basedOn w:val="Normal"/>
    <w:link w:val="RodapCarcter"/>
    <w:uiPriority w:val="99"/>
    <w:unhideWhenUsed/>
    <w:rsid w:val="00743AB9"/>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743AB9"/>
    <w:rPr>
      <w:rFonts w:ascii="Times New Roman" w:eastAsia="Times New Roman" w:hAnsi="Times New Roman" w:cs="Times New Roman"/>
      <w:color w:val="000000"/>
      <w:sz w:val="24"/>
      <w:lang w:eastAsia="pt-PT"/>
    </w:rPr>
  </w:style>
  <w:style w:type="paragraph" w:styleId="Legenda">
    <w:name w:val="caption"/>
    <w:basedOn w:val="Normal"/>
    <w:next w:val="Normal"/>
    <w:uiPriority w:val="35"/>
    <w:unhideWhenUsed/>
    <w:qFormat/>
    <w:rsid w:val="003516A7"/>
    <w:pPr>
      <w:spacing w:after="200" w:line="240" w:lineRule="auto"/>
    </w:pPr>
    <w:rPr>
      <w:i/>
      <w:iCs/>
      <w:color w:val="44546A" w:themeColor="text2"/>
      <w:sz w:val="18"/>
      <w:szCs w:val="18"/>
    </w:rPr>
  </w:style>
  <w:style w:type="character" w:customStyle="1" w:styleId="Cabealho1Carcter">
    <w:name w:val="Cabeçalho 1 Carácter"/>
    <w:basedOn w:val="Tipodeletrapredefinidodopargrafo"/>
    <w:link w:val="Cabealho1"/>
    <w:uiPriority w:val="9"/>
    <w:rsid w:val="008474BA"/>
    <w:rPr>
      <w:rFonts w:asciiTheme="majorHAnsi" w:eastAsiaTheme="majorEastAsia" w:hAnsiTheme="majorHAnsi" w:cstheme="majorBidi"/>
      <w:color w:val="2E74B5" w:themeColor="accent1" w:themeShade="BF"/>
      <w:sz w:val="32"/>
      <w:szCs w:val="32"/>
      <w:lang w:eastAsia="pt-PT"/>
    </w:rPr>
  </w:style>
  <w:style w:type="character" w:customStyle="1" w:styleId="Cabealho2Carcter">
    <w:name w:val="Cabeçalho 2 Carácter"/>
    <w:basedOn w:val="Tipodeletrapredefinidodopargrafo"/>
    <w:link w:val="Cabealho2"/>
    <w:uiPriority w:val="9"/>
    <w:rsid w:val="008474BA"/>
    <w:rPr>
      <w:rFonts w:asciiTheme="majorHAnsi" w:eastAsiaTheme="majorEastAsia" w:hAnsiTheme="majorHAnsi" w:cstheme="majorBidi"/>
      <w:color w:val="2E74B5" w:themeColor="accent1" w:themeShade="BF"/>
      <w:sz w:val="26"/>
      <w:szCs w:val="26"/>
      <w:lang w:eastAsia="pt-PT"/>
    </w:rPr>
  </w:style>
  <w:style w:type="character" w:customStyle="1" w:styleId="Cabealho3Carcter">
    <w:name w:val="Cabeçalho 3 Carácter"/>
    <w:basedOn w:val="Tipodeletrapredefinidodopargrafo"/>
    <w:link w:val="Cabealho3"/>
    <w:uiPriority w:val="9"/>
    <w:rsid w:val="008474BA"/>
    <w:rPr>
      <w:rFonts w:asciiTheme="majorHAnsi" w:eastAsiaTheme="majorEastAsia" w:hAnsiTheme="majorHAnsi" w:cstheme="majorBidi"/>
      <w:color w:val="1F4D78" w:themeColor="accent1" w:themeShade="7F"/>
      <w:sz w:val="24"/>
      <w:szCs w:val="24"/>
      <w:lang w:eastAsia="pt-PT"/>
    </w:rPr>
  </w:style>
  <w:style w:type="character" w:customStyle="1" w:styleId="Cabealho4Carcter">
    <w:name w:val="Cabeçalho 4 Carácter"/>
    <w:basedOn w:val="Tipodeletrapredefinidodopargrafo"/>
    <w:link w:val="Cabealho4"/>
    <w:uiPriority w:val="9"/>
    <w:rsid w:val="008474BA"/>
    <w:rPr>
      <w:rFonts w:asciiTheme="majorHAnsi" w:eastAsiaTheme="majorEastAsia" w:hAnsiTheme="majorHAnsi" w:cstheme="majorBidi"/>
      <w:i/>
      <w:iCs/>
      <w:color w:val="2E74B5" w:themeColor="accent1" w:themeShade="BF"/>
      <w:sz w:val="24"/>
      <w:lang w:eastAsia="pt-PT"/>
    </w:rPr>
  </w:style>
  <w:style w:type="paragraph" w:styleId="Textodecomentrio">
    <w:name w:val="annotation text"/>
    <w:basedOn w:val="Normal"/>
    <w:link w:val="TextodecomentrioCarcter"/>
    <w:uiPriority w:val="99"/>
    <w:semiHidden/>
    <w:unhideWhenUsed/>
    <w:rsid w:val="007F723B"/>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7F723B"/>
    <w:rPr>
      <w:rFonts w:ascii="Times New Roman" w:eastAsia="Times New Roman" w:hAnsi="Times New Roman" w:cs="Times New Roman"/>
      <w:color w:val="000000"/>
      <w:sz w:val="20"/>
      <w:szCs w:val="20"/>
      <w:lang w:eastAsia="pt-PT"/>
    </w:rPr>
  </w:style>
  <w:style w:type="character" w:styleId="Refdecomentrio">
    <w:name w:val="annotation reference"/>
    <w:basedOn w:val="Tipodeletrapredefinidodopargrafo"/>
    <w:uiPriority w:val="99"/>
    <w:semiHidden/>
    <w:unhideWhenUsed/>
    <w:rsid w:val="007F723B"/>
    <w:rPr>
      <w:sz w:val="16"/>
      <w:szCs w:val="16"/>
    </w:rPr>
  </w:style>
  <w:style w:type="paragraph" w:styleId="Textodebalo">
    <w:name w:val="Balloon Text"/>
    <w:basedOn w:val="Normal"/>
    <w:link w:val="TextodebaloCarcter"/>
    <w:uiPriority w:val="99"/>
    <w:semiHidden/>
    <w:unhideWhenUsed/>
    <w:rsid w:val="007F723B"/>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7F723B"/>
    <w:rPr>
      <w:rFonts w:ascii="Segoe UI" w:eastAsia="Times New Roman" w:hAnsi="Segoe UI" w:cs="Segoe UI"/>
      <w:color w:val="000000"/>
      <w:sz w:val="18"/>
      <w:szCs w:val="18"/>
      <w:lang w:eastAsia="pt-PT"/>
    </w:rPr>
  </w:style>
  <w:style w:type="paragraph" w:styleId="PargrafodaLista">
    <w:name w:val="List Paragraph"/>
    <w:basedOn w:val="Normal"/>
    <w:uiPriority w:val="34"/>
    <w:qFormat/>
    <w:rsid w:val="0044264A"/>
    <w:pPr>
      <w:ind w:left="720"/>
      <w:contextualSpacing/>
    </w:pPr>
  </w:style>
  <w:style w:type="paragraph" w:styleId="Ttulodondice">
    <w:name w:val="TOC Heading"/>
    <w:basedOn w:val="Cabealho1"/>
    <w:next w:val="Normal"/>
    <w:uiPriority w:val="39"/>
    <w:unhideWhenUsed/>
    <w:qFormat/>
    <w:rsid w:val="00793253"/>
    <w:pPr>
      <w:spacing w:line="259" w:lineRule="auto"/>
      <w:ind w:left="0" w:right="0" w:firstLine="0"/>
      <w:jc w:val="left"/>
      <w:outlineLvl w:val="9"/>
    </w:pPr>
  </w:style>
  <w:style w:type="paragraph" w:styleId="ndice1">
    <w:name w:val="toc 1"/>
    <w:basedOn w:val="Normal"/>
    <w:next w:val="Normal"/>
    <w:autoRedefine/>
    <w:uiPriority w:val="39"/>
    <w:unhideWhenUsed/>
    <w:rsid w:val="00793253"/>
    <w:pPr>
      <w:spacing w:after="100"/>
      <w:ind w:left="0"/>
    </w:pPr>
  </w:style>
  <w:style w:type="paragraph" w:styleId="ndice2">
    <w:name w:val="toc 2"/>
    <w:basedOn w:val="Normal"/>
    <w:next w:val="Normal"/>
    <w:autoRedefine/>
    <w:uiPriority w:val="39"/>
    <w:unhideWhenUsed/>
    <w:rsid w:val="00793253"/>
    <w:pPr>
      <w:spacing w:after="100"/>
      <w:ind w:left="240"/>
    </w:pPr>
  </w:style>
  <w:style w:type="paragraph" w:styleId="ndice3">
    <w:name w:val="toc 3"/>
    <w:basedOn w:val="Normal"/>
    <w:next w:val="Normal"/>
    <w:autoRedefine/>
    <w:uiPriority w:val="39"/>
    <w:unhideWhenUsed/>
    <w:rsid w:val="00793253"/>
    <w:pPr>
      <w:spacing w:after="100"/>
      <w:ind w:left="480"/>
    </w:pPr>
  </w:style>
  <w:style w:type="character" w:styleId="Hiperligao">
    <w:name w:val="Hyperlink"/>
    <w:basedOn w:val="Tipodeletrapredefinidodopargrafo"/>
    <w:uiPriority w:val="99"/>
    <w:unhideWhenUsed/>
    <w:rsid w:val="00793253"/>
    <w:rPr>
      <w:color w:val="0563C1" w:themeColor="hyperlink"/>
      <w:u w:val="single"/>
    </w:rPr>
  </w:style>
  <w:style w:type="paragraph" w:styleId="ndice4">
    <w:name w:val="toc 4"/>
    <w:basedOn w:val="Normal"/>
    <w:next w:val="Normal"/>
    <w:autoRedefine/>
    <w:uiPriority w:val="39"/>
    <w:unhideWhenUsed/>
    <w:rsid w:val="00793253"/>
    <w:pPr>
      <w:spacing w:after="100"/>
      <w:ind w:left="720"/>
    </w:pPr>
  </w:style>
  <w:style w:type="paragraph" w:styleId="ndicedeilustraes">
    <w:name w:val="table of figures"/>
    <w:basedOn w:val="Normal"/>
    <w:next w:val="Normal"/>
    <w:uiPriority w:val="99"/>
    <w:unhideWhenUsed/>
    <w:rsid w:val="00793253"/>
    <w:pPr>
      <w:spacing w:after="0"/>
      <w:ind w:left="0"/>
    </w:pPr>
  </w:style>
  <w:style w:type="paragraph" w:styleId="Assuntodecomentrio">
    <w:name w:val="annotation subject"/>
    <w:basedOn w:val="Textodecomentrio"/>
    <w:next w:val="Textodecomentrio"/>
    <w:link w:val="AssuntodecomentrioCarcter"/>
    <w:uiPriority w:val="99"/>
    <w:semiHidden/>
    <w:unhideWhenUsed/>
    <w:rsid w:val="000E1A1D"/>
    <w:rPr>
      <w:b/>
      <w:bCs/>
    </w:rPr>
  </w:style>
  <w:style w:type="character" w:customStyle="1" w:styleId="AssuntodecomentrioCarcter">
    <w:name w:val="Assunto de comentário Carácter"/>
    <w:basedOn w:val="TextodecomentrioCarcter"/>
    <w:link w:val="Assuntodecomentrio"/>
    <w:uiPriority w:val="99"/>
    <w:semiHidden/>
    <w:rsid w:val="000E1A1D"/>
    <w:rPr>
      <w:rFonts w:ascii="Times New Roman" w:eastAsia="Times New Roman" w:hAnsi="Times New Roman" w:cs="Times New Roman"/>
      <w:b/>
      <w:bCs/>
      <w:color w:val="000000"/>
      <w:sz w:val="20"/>
      <w:szCs w:val="20"/>
      <w:lang w:eastAsia="pt-PT"/>
    </w:rPr>
  </w:style>
  <w:style w:type="paragraph" w:styleId="NormalWeb">
    <w:name w:val="Normal (Web)"/>
    <w:basedOn w:val="Normal"/>
    <w:uiPriority w:val="99"/>
    <w:semiHidden/>
    <w:unhideWhenUsed/>
    <w:rsid w:val="00DA79C5"/>
    <w:pPr>
      <w:spacing w:before="100" w:beforeAutospacing="1" w:after="100" w:afterAutospacing="1" w:line="240" w:lineRule="auto"/>
      <w:ind w:left="0" w:right="0" w:firstLine="0"/>
      <w:jc w:val="left"/>
    </w:pPr>
    <w:rPr>
      <w:rFonts w:eastAsiaTheme="minorEastAsia"/>
      <w:color w:val="auto"/>
      <w:szCs w:val="24"/>
    </w:rPr>
  </w:style>
  <w:style w:type="character" w:styleId="nfase">
    <w:name w:val="Emphasis"/>
    <w:basedOn w:val="Tipodeletrapredefinidodopargrafo"/>
    <w:uiPriority w:val="20"/>
    <w:qFormat/>
    <w:rsid w:val="00EC2230"/>
    <w:rPr>
      <w:i/>
      <w:iCs/>
    </w:rPr>
  </w:style>
  <w:style w:type="character" w:customStyle="1" w:styleId="apple-converted-space">
    <w:name w:val="apple-converted-space"/>
    <w:basedOn w:val="Tipodeletrapredefinidodopargrafo"/>
    <w:rsid w:val="00EC2230"/>
  </w:style>
  <w:style w:type="character" w:customStyle="1" w:styleId="ref-journal">
    <w:name w:val="ref-journal"/>
    <w:basedOn w:val="Tipodeletrapredefinidodopargrafo"/>
    <w:rsid w:val="00EC2230"/>
  </w:style>
  <w:style w:type="character" w:customStyle="1" w:styleId="ref-vol">
    <w:name w:val="ref-vol"/>
    <w:basedOn w:val="Tipodeletrapredefinidodopargrafo"/>
    <w:rsid w:val="00EC2230"/>
  </w:style>
  <w:style w:type="paragraph" w:styleId="Reviso">
    <w:name w:val="Revision"/>
    <w:hidden/>
    <w:uiPriority w:val="99"/>
    <w:semiHidden/>
    <w:rsid w:val="00EC2230"/>
    <w:pPr>
      <w:spacing w:after="0" w:line="240" w:lineRule="auto"/>
    </w:pPr>
    <w:rPr>
      <w:rFonts w:ascii="Times New Roman" w:eastAsia="Times New Roman" w:hAnsi="Times New Roman" w:cs="Times New Roman"/>
      <w:color w:val="000000"/>
      <w:sz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4.png"/><Relationship Id="rId26" Type="http://schemas.openxmlformats.org/officeDocument/2006/relationships/chart" Target="charts/chart8.xml"/><Relationship Id="rId39" Type="http://schemas.openxmlformats.org/officeDocument/2006/relationships/chart" Target="charts/chart21.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chart" Target="charts/chart24.xml"/><Relationship Id="rId47" Type="http://schemas.openxmlformats.org/officeDocument/2006/relationships/image" Target="media/image7.png"/><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image" Target="media/image23.png"/><Relationship Id="rId68" Type="http://schemas.openxmlformats.org/officeDocument/2006/relationships/image" Target="media/image28.pn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2.jpg"/><Relationship Id="rId29" Type="http://schemas.openxmlformats.org/officeDocument/2006/relationships/chart" Target="charts/chart11.xml"/><Relationship Id="rId11" Type="http://schemas.openxmlformats.org/officeDocument/2006/relationships/header" Target="header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chart" Target="charts/chart22.xml"/><Relationship Id="rId45" Type="http://schemas.openxmlformats.org/officeDocument/2006/relationships/chart" Target="charts/chart27.xml"/><Relationship Id="rId53" Type="http://schemas.openxmlformats.org/officeDocument/2006/relationships/image" Target="media/image13.png"/><Relationship Id="rId58" Type="http://schemas.openxmlformats.org/officeDocument/2006/relationships/image" Target="media/image18.png"/><Relationship Id="rId66" Type="http://schemas.openxmlformats.org/officeDocument/2006/relationships/image" Target="media/image26.png"/><Relationship Id="rId74" Type="http://schemas.openxmlformats.org/officeDocument/2006/relationships/image" Target="media/image34.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image" Target="media/image9.png"/><Relationship Id="rId57" Type="http://schemas.openxmlformats.org/officeDocument/2006/relationships/image" Target="media/image17.png"/><Relationship Id="rId61" Type="http://schemas.openxmlformats.org/officeDocument/2006/relationships/image" Target="media/image21.png"/><Relationship Id="rId10" Type="http://schemas.openxmlformats.org/officeDocument/2006/relationships/image" Target="media/image1.jpeg"/><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chart" Target="charts/chart26.xml"/><Relationship Id="rId52" Type="http://schemas.openxmlformats.org/officeDocument/2006/relationships/image" Target="media/image12.png"/><Relationship Id="rId60" Type="http://schemas.openxmlformats.org/officeDocument/2006/relationships/image" Target="media/image20.png"/><Relationship Id="rId65" Type="http://schemas.openxmlformats.org/officeDocument/2006/relationships/image" Target="media/image25.png"/><Relationship Id="rId73" Type="http://schemas.openxmlformats.org/officeDocument/2006/relationships/image" Target="media/image33.png"/><Relationship Id="rId4" Type="http://schemas.microsoft.com/office/2007/relationships/stylesWithEffects" Target="stylesWithEffects.xml"/><Relationship Id="rId9" Type="http://schemas.openxmlformats.org/officeDocument/2006/relationships/hyperlink" Target="https://www.google.pt/url?sa=i&amp;rct=j&amp;q=&amp;esrc=s&amp;source=images&amp;cd=&amp;cad=rja&amp;uact=8&amp;ved=0CAcQjRxqFQoTCKmxi5G2kMgCFcI5GgoderAMpg&amp;url=https://dgaaualg.wordpress.com/&amp;psig=AFQjCNFYR4cxzqYBfhs4uRBKwqDdC6QVFA&amp;ust=1443209934414865" TargetMode="External"/><Relationship Id="rId14" Type="http://schemas.openxmlformats.org/officeDocument/2006/relationships/footer" Target="footer2.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chart" Target="charts/chart25.xml"/><Relationship Id="rId48" Type="http://schemas.openxmlformats.org/officeDocument/2006/relationships/image" Target="media/image8.png"/><Relationship Id="rId56" Type="http://schemas.openxmlformats.org/officeDocument/2006/relationships/image" Target="media/image16.png"/><Relationship Id="rId64" Type="http://schemas.openxmlformats.org/officeDocument/2006/relationships/image" Target="media/image24.png"/><Relationship Id="rId69" Type="http://schemas.openxmlformats.org/officeDocument/2006/relationships/image" Target="media/image29.png"/><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1.png"/><Relationship Id="rId72" Type="http://schemas.openxmlformats.org/officeDocument/2006/relationships/image" Target="media/image3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image" Target="media/image6.png"/><Relationship Id="rId59" Type="http://schemas.openxmlformats.org/officeDocument/2006/relationships/image" Target="media/image19.png"/><Relationship Id="rId67" Type="http://schemas.openxmlformats.org/officeDocument/2006/relationships/image" Target="media/image27.png"/><Relationship Id="rId20" Type="http://schemas.openxmlformats.org/officeDocument/2006/relationships/chart" Target="charts/chart2.xml"/><Relationship Id="rId41" Type="http://schemas.openxmlformats.org/officeDocument/2006/relationships/chart" Target="charts/chart23.xml"/><Relationship Id="rId54" Type="http://schemas.openxmlformats.org/officeDocument/2006/relationships/image" Target="media/image14.png"/><Relationship Id="rId62" Type="http://schemas.openxmlformats.org/officeDocument/2006/relationships/image" Target="media/image22.png"/><Relationship Id="rId70" Type="http://schemas.openxmlformats.org/officeDocument/2006/relationships/image" Target="media/image30.png"/><Relationship Id="rId75" Type="http://schemas.openxmlformats.org/officeDocument/2006/relationships/image" Target="media/image35.png"/><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Rita\Desktop\Tese\fen01s.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rita_\Desktop\Tese\cor.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ita_\Desktop\Tese\excel\todos_CG_24_08_2016.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rita_\AppData\Local\Temp\teac%20(Fev201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ita_\AppData\Local\Temp\teac%20(Fev2017).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rita_\Desktop\Tese\excel\todos_CG_24_08_2016.xlsx" TargetMode="External"/></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rita_\Desktop\Tese\excel\todos_CG_24_08_2016.xlsx" TargetMode="External"/></Relationships>
</file>

<file path=word/charts/_rels/chart22.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C:\Users\rita_\Desktop\Tese\excel\todos_CG_24_08_2016.xlsx" TargetMode="External"/><Relationship Id="rId1" Type="http://schemas.openxmlformats.org/officeDocument/2006/relationships/themeOverride" Target="../theme/themeOverride4.xml"/></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rita_\Desktop\Tese\excel\todos_CG_24_08_2016.xlsx" TargetMode="External"/></Relationships>
</file>

<file path=word/charts/_rels/chart24.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rita_\Desktop\Tese\excel\C&#243;pia%20de%20taninos2%20(2).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C:\Users\rita_\Desktop\Tese\excel\C&#243;pia%20de%20dados_figos%20acidos%20org(1).xlsx" TargetMode="External"/><Relationship Id="rId1" Type="http://schemas.openxmlformats.org/officeDocument/2006/relationships/themeOverride" Target="../theme/themeOverride5.xml"/></Relationships>
</file>

<file path=word/charts/_rels/chart26.xml.rels><?xml version="1.0" encoding="UTF-8" standalone="yes"?>
<Relationships xmlns="http://schemas.openxmlformats.org/package/2006/relationships"><Relationship Id="rId1" Type="http://schemas.openxmlformats.org/officeDocument/2006/relationships/oleObject" Target="file:///C:\Users\rita_\Desktop\Tese\Ficheiros\Materiais%20e%20metodos\HPLC\RESULTADOS_A&#199;UCARES_MAR&#199;O_2015.xlsx" TargetMode="External"/></Relationships>
</file>

<file path=word/charts/_rels/chart27.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C:\Users\rita_\Desktop\Tese\excel\CALCULO%20TDF.xlsx" TargetMode="External"/><Relationship Id="rId1" Type="http://schemas.openxmlformats.org/officeDocument/2006/relationships/themeOverride" Target="../theme/themeOverride6.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Rita\Desktop\Tese\dpph.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Rita\Desktop\Tese\calculo%20flavonoides.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Rita\Desktop\Tese\Taninos\taninos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rita_\Desktop\Tese\excel\co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pt-BR"/>
              <a:t>Reta</a:t>
            </a:r>
            <a:r>
              <a:rPr lang="pt-BR" baseline="0"/>
              <a:t> P</a:t>
            </a:r>
            <a:r>
              <a:rPr lang="pt-BR"/>
              <a:t>adrão</a:t>
            </a: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10926290463692039"/>
                  <c:y val="0.22186315252260133"/>
                </c:manualLayout>
              </c:layout>
              <c:numFmt formatCode="General" sourceLinked="0"/>
            </c:trendlineLbl>
          </c:trendline>
          <c:xVal>
            <c:numRef>
              <c:f>Plan1!$F$43:$F$52</c:f>
              <c:numCache>
                <c:formatCode>General</c:formatCode>
                <c:ptCount val="10"/>
                <c:pt idx="0">
                  <c:v>1.2786999999999999</c:v>
                </c:pt>
                <c:pt idx="1">
                  <c:v>0.59989999999999999</c:v>
                </c:pt>
                <c:pt idx="2">
                  <c:v>0.3009</c:v>
                </c:pt>
                <c:pt idx="3">
                  <c:v>0.23830000000000001</c:v>
                </c:pt>
                <c:pt idx="4">
                  <c:v>0.1183</c:v>
                </c:pt>
                <c:pt idx="5">
                  <c:v>9.0899999999999995E-2</c:v>
                </c:pt>
                <c:pt idx="6">
                  <c:v>6.7100000000000007E-2</c:v>
                </c:pt>
                <c:pt idx="7">
                  <c:v>6.0999999999999999E-2</c:v>
                </c:pt>
                <c:pt idx="8">
                  <c:v>6.3299999999999995E-2</c:v>
                </c:pt>
                <c:pt idx="9">
                  <c:v>5.57E-2</c:v>
                </c:pt>
              </c:numCache>
            </c:numRef>
          </c:xVal>
          <c:yVal>
            <c:numRef>
              <c:f>Plan1!$G$42:$G$51</c:f>
              <c:numCache>
                <c:formatCode>General</c:formatCode>
                <c:ptCount val="10"/>
                <c:pt idx="0">
                  <c:v>0.6</c:v>
                </c:pt>
                <c:pt idx="1">
                  <c:v>0.3</c:v>
                </c:pt>
                <c:pt idx="2">
                  <c:v>0.15</c:v>
                </c:pt>
                <c:pt idx="3">
                  <c:v>0.1</c:v>
                </c:pt>
                <c:pt idx="4">
                  <c:v>0.05</c:v>
                </c:pt>
                <c:pt idx="5">
                  <c:v>2.5000000000000001E-2</c:v>
                </c:pt>
                <c:pt idx="6">
                  <c:v>1.2500000000000001E-2</c:v>
                </c:pt>
                <c:pt idx="7">
                  <c:v>6.2500000000000003E-3</c:v>
                </c:pt>
                <c:pt idx="8">
                  <c:v>3.1250000000000002E-3</c:v>
                </c:pt>
                <c:pt idx="9">
                  <c:v>1.5625000000000001E-3</c:v>
                </c:pt>
              </c:numCache>
            </c:numRef>
          </c:yVal>
          <c:smooth val="0"/>
          <c:extLst xmlns:c16r2="http://schemas.microsoft.com/office/drawing/2015/06/chart">
            <c:ext xmlns:c16="http://schemas.microsoft.com/office/drawing/2014/chart" uri="{C3380CC4-5D6E-409C-BE32-E72D297353CC}">
              <c16:uniqueId val="{00000001-89E5-49FB-9FFC-88BBBE709B3D}"/>
            </c:ext>
          </c:extLst>
        </c:ser>
        <c:dLbls>
          <c:showLegendKey val="0"/>
          <c:showVal val="0"/>
          <c:showCatName val="0"/>
          <c:showSerName val="0"/>
          <c:showPercent val="0"/>
          <c:showBubbleSize val="0"/>
        </c:dLbls>
        <c:axId val="86352256"/>
        <c:axId val="86354176"/>
      </c:scatterChart>
      <c:valAx>
        <c:axId val="86352256"/>
        <c:scaling>
          <c:orientation val="minMax"/>
        </c:scaling>
        <c:delete val="0"/>
        <c:axPos val="b"/>
        <c:title>
          <c:tx>
            <c:rich>
              <a:bodyPr/>
              <a:lstStyle/>
              <a:p>
                <a:pPr>
                  <a:defRPr/>
                </a:pPr>
                <a:r>
                  <a:rPr lang="pt-BR"/>
                  <a:t>Absorvância 765</a:t>
                </a:r>
                <a:r>
                  <a:rPr lang="pt-BR" baseline="0"/>
                  <a:t> nm</a:t>
                </a:r>
                <a:endParaRPr lang="pt-BR"/>
              </a:p>
            </c:rich>
          </c:tx>
          <c:layout>
            <c:manualLayout>
              <c:xMode val="edge"/>
              <c:yMode val="edge"/>
              <c:x val="0.37060826771653543"/>
              <c:y val="0.89256926217556143"/>
            </c:manualLayout>
          </c:layout>
          <c:overlay val="0"/>
        </c:title>
        <c:numFmt formatCode="General" sourceLinked="1"/>
        <c:majorTickMark val="out"/>
        <c:minorTickMark val="none"/>
        <c:tickLblPos val="nextTo"/>
        <c:crossAx val="86354176"/>
        <c:crosses val="autoZero"/>
        <c:crossBetween val="midCat"/>
      </c:valAx>
      <c:valAx>
        <c:axId val="86354176"/>
        <c:scaling>
          <c:orientation val="minMax"/>
        </c:scaling>
        <c:delete val="0"/>
        <c:axPos val="l"/>
        <c:title>
          <c:tx>
            <c:rich>
              <a:bodyPr rot="-5400000" vert="horz"/>
              <a:lstStyle/>
              <a:p>
                <a:pPr>
                  <a:defRPr/>
                </a:pPr>
                <a:r>
                  <a:rPr lang="pt-BR" sz="1000" b="1" i="0" u="none" strike="noStrike" baseline="0"/>
                  <a:t> ácido gálhico </a:t>
                </a:r>
                <a:r>
                  <a:rPr lang="pt-BR" sz="1000" b="1" i="0" u="none" strike="noStrike" baseline="-25000"/>
                  <a:t> </a:t>
                </a:r>
                <a:r>
                  <a:rPr lang="pt-BR"/>
                  <a:t>mg/mL</a:t>
                </a:r>
              </a:p>
            </c:rich>
          </c:tx>
          <c:overlay val="0"/>
        </c:title>
        <c:numFmt formatCode="General" sourceLinked="1"/>
        <c:majorTickMark val="out"/>
        <c:minorTickMark val="none"/>
        <c:tickLblPos val="nextTo"/>
        <c:crossAx val="86352256"/>
        <c:crosses val="autoZero"/>
        <c:crossBetween val="midCat"/>
      </c:valAx>
      <c:spPr>
        <a:noFill/>
        <a:ln w="25400">
          <a:noFill/>
        </a:ln>
      </c:spPr>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FE9-44F9-90C5-D3278F0E306C}"/>
                </c:ext>
              </c:extLst>
            </c:dLbl>
            <c:dLbl>
              <c:idx val="1"/>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FE9-44F9-90C5-D3278F0E306C}"/>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FE9-44F9-90C5-D3278F0E306C}"/>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FE9-44F9-90C5-D3278F0E306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cor!$M$3:$P$3</c:f>
              <c:strCache>
                <c:ptCount val="4"/>
                <c:pt idx="0">
                  <c:v>laranja</c:v>
                </c:pt>
                <c:pt idx="1">
                  <c:v>verde</c:v>
                </c:pt>
                <c:pt idx="2">
                  <c:v>Rosso</c:v>
                </c:pt>
                <c:pt idx="3">
                  <c:v>Gialla</c:v>
                </c:pt>
              </c:strCache>
            </c:strRef>
          </c:cat>
          <c:val>
            <c:numRef>
              <c:f>cor!$M$16:$P$16</c:f>
              <c:numCache>
                <c:formatCode>General</c:formatCode>
                <c:ptCount val="4"/>
                <c:pt idx="0">
                  <c:v>7.8441666666666672</c:v>
                </c:pt>
                <c:pt idx="1">
                  <c:v>-5.7025000000000006</c:v>
                </c:pt>
                <c:pt idx="2">
                  <c:v>17.662499999999998</c:v>
                </c:pt>
                <c:pt idx="3">
                  <c:v>14.942500000000001</c:v>
                </c:pt>
              </c:numCache>
            </c:numRef>
          </c:val>
          <c:extLst xmlns:c16r2="http://schemas.microsoft.com/office/drawing/2015/06/chart">
            <c:ext xmlns:c16="http://schemas.microsoft.com/office/drawing/2014/chart" uri="{C3380CC4-5D6E-409C-BE32-E72D297353CC}">
              <c16:uniqueId val="{00000000-5FE9-44F9-90C5-D3278F0E306C}"/>
            </c:ext>
          </c:extLst>
        </c:ser>
        <c:dLbls>
          <c:showLegendKey val="0"/>
          <c:showVal val="0"/>
          <c:showCatName val="0"/>
          <c:showSerName val="0"/>
          <c:showPercent val="0"/>
          <c:showBubbleSize val="0"/>
        </c:dLbls>
        <c:gapWidth val="150"/>
        <c:axId val="132889984"/>
        <c:axId val="132904064"/>
      </c:barChart>
      <c:catAx>
        <c:axId val="132889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904064"/>
        <c:crosses val="autoZero"/>
        <c:auto val="1"/>
        <c:lblAlgn val="ctr"/>
        <c:lblOffset val="100"/>
        <c:noMultiLvlLbl val="0"/>
      </c:catAx>
      <c:valAx>
        <c:axId val="1329040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Cor</a:t>
                </a:r>
                <a:r>
                  <a:rPr lang="pt-PT" baseline="0"/>
                  <a:t> (a*)</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89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B2E-44CA-8BFA-C688B710EFEA}"/>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B2E-44CA-8BFA-C688B710EFEA}"/>
                </c:ext>
              </c:extLst>
            </c:dLbl>
            <c:dLbl>
              <c:idx val="2"/>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B2E-44CA-8BFA-C688B710EFEA}"/>
                </c:ext>
              </c:extLst>
            </c:dLbl>
            <c:dLbl>
              <c:idx val="3"/>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B2E-44CA-8BFA-C688B710EFE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cor!$R$3:$U$3</c:f>
              <c:strCache>
                <c:ptCount val="4"/>
                <c:pt idx="0">
                  <c:v>laranja</c:v>
                </c:pt>
                <c:pt idx="1">
                  <c:v>verde</c:v>
                </c:pt>
                <c:pt idx="2">
                  <c:v>Rosso</c:v>
                </c:pt>
                <c:pt idx="3">
                  <c:v>Gialla</c:v>
                </c:pt>
              </c:strCache>
            </c:strRef>
          </c:cat>
          <c:val>
            <c:numRef>
              <c:f>cor!$R$16:$U$16</c:f>
              <c:numCache>
                <c:formatCode>General</c:formatCode>
                <c:ptCount val="4"/>
                <c:pt idx="0">
                  <c:v>22.535833333333333</c:v>
                </c:pt>
                <c:pt idx="1">
                  <c:v>30.837500000000002</c:v>
                </c:pt>
                <c:pt idx="2">
                  <c:v>6.7933333333333339</c:v>
                </c:pt>
                <c:pt idx="3">
                  <c:v>22.26</c:v>
                </c:pt>
              </c:numCache>
            </c:numRef>
          </c:val>
          <c:extLst xmlns:c16r2="http://schemas.microsoft.com/office/drawing/2015/06/chart">
            <c:ext xmlns:c16="http://schemas.microsoft.com/office/drawing/2014/chart" uri="{C3380CC4-5D6E-409C-BE32-E72D297353CC}">
              <c16:uniqueId val="{00000000-6B2E-44CA-8BFA-C688B710EFEA}"/>
            </c:ext>
          </c:extLst>
        </c:ser>
        <c:dLbls>
          <c:showLegendKey val="0"/>
          <c:showVal val="0"/>
          <c:showCatName val="0"/>
          <c:showSerName val="0"/>
          <c:showPercent val="0"/>
          <c:showBubbleSize val="0"/>
        </c:dLbls>
        <c:gapWidth val="150"/>
        <c:axId val="132930560"/>
        <c:axId val="132940544"/>
      </c:barChart>
      <c:catAx>
        <c:axId val="132930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940544"/>
        <c:crosses val="autoZero"/>
        <c:auto val="1"/>
        <c:lblAlgn val="ctr"/>
        <c:lblOffset val="100"/>
        <c:noMultiLvlLbl val="0"/>
      </c:catAx>
      <c:valAx>
        <c:axId val="13294054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Cor</a:t>
                </a:r>
                <a:r>
                  <a:rPr lang="pt-PT" baseline="0"/>
                  <a:t> (b*)</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930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320-44E1-AB88-7B062C7C5D4E}"/>
                </c:ext>
              </c:extLst>
            </c:dLbl>
            <c:dLbl>
              <c:idx val="1"/>
              <c:tx>
                <c:rich>
                  <a:bodyPr/>
                  <a:lstStyle/>
                  <a:p>
                    <a:r>
                      <a:rPr lang="en-US" b="1"/>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320-44E1-AB88-7B062C7C5D4E}"/>
                </c:ext>
              </c:extLst>
            </c:dLbl>
            <c:dLbl>
              <c:idx val="2"/>
              <c:tx>
                <c:rich>
                  <a:bodyPr/>
                  <a:lstStyle/>
                  <a:p>
                    <a:r>
                      <a:rPr lang="en-US" b="1"/>
                      <a:t>d</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320-44E1-AB88-7B062C7C5D4E}"/>
                </c:ext>
              </c:extLst>
            </c:dLbl>
            <c:dLbl>
              <c:idx val="3"/>
              <c:layout>
                <c:manualLayout>
                  <c:x val="-8.9868242880141127E-17"/>
                  <c:y val="0"/>
                </c:manualLayout>
              </c:layout>
              <c:tx>
                <c:rich>
                  <a:bodyPr/>
                  <a:lstStyle/>
                  <a:p>
                    <a:r>
                      <a:rPr lang="en-US" b="1"/>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320-44E1-AB88-7B062C7C5D4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cor!$W$3:$Z$3</c:f>
              <c:strCache>
                <c:ptCount val="4"/>
                <c:pt idx="0">
                  <c:v>laranja</c:v>
                </c:pt>
                <c:pt idx="1">
                  <c:v>verde</c:v>
                </c:pt>
                <c:pt idx="2">
                  <c:v>Rosso</c:v>
                </c:pt>
                <c:pt idx="3">
                  <c:v>Gialla</c:v>
                </c:pt>
              </c:strCache>
            </c:strRef>
          </c:cat>
          <c:val>
            <c:numRef>
              <c:f>cor!$W$16:$Z$16</c:f>
              <c:numCache>
                <c:formatCode>General</c:formatCode>
                <c:ptCount val="4"/>
                <c:pt idx="0">
                  <c:v>70.558333333333337</c:v>
                </c:pt>
                <c:pt idx="1">
                  <c:v>99.924999999999997</c:v>
                </c:pt>
                <c:pt idx="2">
                  <c:v>21.349999999999998</c:v>
                </c:pt>
                <c:pt idx="3">
                  <c:v>56.408333333333331</c:v>
                </c:pt>
              </c:numCache>
            </c:numRef>
          </c:val>
          <c:extLst xmlns:c16r2="http://schemas.microsoft.com/office/drawing/2015/06/chart">
            <c:ext xmlns:c16="http://schemas.microsoft.com/office/drawing/2014/chart" uri="{C3380CC4-5D6E-409C-BE32-E72D297353CC}">
              <c16:uniqueId val="{00000000-90EE-4388-855C-3C773E9263C9}"/>
            </c:ext>
          </c:extLst>
        </c:ser>
        <c:dLbls>
          <c:dLblPos val="outEnd"/>
          <c:showLegendKey val="0"/>
          <c:showVal val="1"/>
          <c:showCatName val="0"/>
          <c:showSerName val="0"/>
          <c:showPercent val="0"/>
          <c:showBubbleSize val="0"/>
        </c:dLbls>
        <c:gapWidth val="150"/>
        <c:axId val="133105152"/>
        <c:axId val="133120384"/>
      </c:barChart>
      <c:catAx>
        <c:axId val="133105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120384"/>
        <c:crosses val="autoZero"/>
        <c:auto val="1"/>
        <c:lblAlgn val="ctr"/>
        <c:lblOffset val="100"/>
        <c:noMultiLvlLbl val="0"/>
      </c:catAx>
      <c:valAx>
        <c:axId val="13312038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Hue</a:t>
                </a:r>
                <a:r>
                  <a:rPr lang="pt-PT" baseline="0"/>
                  <a:t> </a:t>
                </a:r>
                <a:r>
                  <a:rPr lang="pt-PT" baseline="0">
                    <a:latin typeface="Calibri" panose="020F0502020204030204" pitchFamily="34" charset="0"/>
                  </a:rPr>
                  <a:t>°</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105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layout>
                <c:manualLayout>
                  <c:x val="-4.9751243781094986E-3"/>
                  <c:y val="-2.1218890680033321E-17"/>
                </c:manualLayout>
              </c:layout>
              <c:tx>
                <c:rich>
                  <a:bodyPr/>
                  <a:lstStyle/>
                  <a:p>
                    <a:r>
                      <a:rPr lang="en-US"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69E-4E11-A59F-D821F6A2B7D9}"/>
                </c:ext>
              </c:extLst>
            </c:dLbl>
            <c:dLbl>
              <c:idx val="1"/>
              <c:tx>
                <c:rich>
                  <a:bodyPr/>
                  <a:lstStyle/>
                  <a:p>
                    <a:r>
                      <a:rPr lang="en-US" b="1"/>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69E-4E11-A59F-D821F6A2B7D9}"/>
                </c:ext>
              </c:extLst>
            </c:dLbl>
            <c:dLbl>
              <c:idx val="2"/>
              <c:tx>
                <c:rich>
                  <a:bodyPr/>
                  <a:lstStyle/>
                  <a:p>
                    <a:r>
                      <a:rPr lang="en-US" b="1"/>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69E-4E11-A59F-D821F6A2B7D9}"/>
                </c:ext>
              </c:extLst>
            </c:dLbl>
            <c:dLbl>
              <c:idx val="3"/>
              <c:tx>
                <c:rich>
                  <a:bodyPr/>
                  <a:lstStyle/>
                  <a:p>
                    <a:r>
                      <a:rPr lang="en-US"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69E-4E11-A59F-D821F6A2B7D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Folha1!$I$3:$L$3</c:f>
              <c:strCache>
                <c:ptCount val="4"/>
                <c:pt idx="0">
                  <c:v>laranja</c:v>
                </c:pt>
                <c:pt idx="1">
                  <c:v>verde</c:v>
                </c:pt>
                <c:pt idx="2">
                  <c:v>Rosso</c:v>
                </c:pt>
                <c:pt idx="3">
                  <c:v>Gialla</c:v>
                </c:pt>
              </c:strCache>
            </c:strRef>
          </c:cat>
          <c:val>
            <c:numRef>
              <c:f>Folha1!$I$16:$L$16</c:f>
              <c:numCache>
                <c:formatCode>0.00</c:formatCode>
                <c:ptCount val="4"/>
                <c:pt idx="0">
                  <c:v>24.932500000000001</c:v>
                </c:pt>
                <c:pt idx="1">
                  <c:v>31.528333333333332</c:v>
                </c:pt>
                <c:pt idx="2">
                  <c:v>18.960833333333337</c:v>
                </c:pt>
                <c:pt idx="3">
                  <c:v>27.08</c:v>
                </c:pt>
              </c:numCache>
            </c:numRef>
          </c:val>
          <c:extLst xmlns:c16r2="http://schemas.microsoft.com/office/drawing/2015/06/chart">
            <c:ext xmlns:c16="http://schemas.microsoft.com/office/drawing/2014/chart" uri="{C3380CC4-5D6E-409C-BE32-E72D297353CC}">
              <c16:uniqueId val="{00000000-47F9-44F2-9EEE-C63D0F36FF06}"/>
            </c:ext>
          </c:extLst>
        </c:ser>
        <c:dLbls>
          <c:showLegendKey val="0"/>
          <c:showVal val="0"/>
          <c:showCatName val="0"/>
          <c:showSerName val="0"/>
          <c:showPercent val="0"/>
          <c:showBubbleSize val="0"/>
        </c:dLbls>
        <c:gapWidth val="150"/>
        <c:axId val="133138688"/>
        <c:axId val="133140480"/>
      </c:barChart>
      <c:catAx>
        <c:axId val="133138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140480"/>
        <c:crosses val="autoZero"/>
        <c:auto val="1"/>
        <c:lblAlgn val="ctr"/>
        <c:lblOffset val="100"/>
        <c:noMultiLvlLbl val="0"/>
      </c:catAx>
      <c:valAx>
        <c:axId val="1331404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Croma (C*)</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138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sz="1000"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DAF-48B3-AFB3-6CAE8F602788}"/>
                </c:ext>
              </c:extLst>
            </c:dLbl>
            <c:dLbl>
              <c:idx val="1"/>
              <c:tx>
                <c:rich>
                  <a:bodyPr/>
                  <a:lstStyle/>
                  <a:p>
                    <a:r>
                      <a:rPr lang="en-US" sz="1000" b="1"/>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DAF-48B3-AFB3-6CAE8F602788}"/>
                </c:ext>
              </c:extLst>
            </c:dLbl>
            <c:dLbl>
              <c:idx val="2"/>
              <c:tx>
                <c:rich>
                  <a:bodyPr/>
                  <a:lstStyle/>
                  <a:p>
                    <a:r>
                      <a:rPr lang="en-US" sz="1000"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DAF-48B3-AFB3-6CAE8F602788}"/>
                </c:ext>
              </c:extLst>
            </c:dLbl>
            <c:dLbl>
              <c:idx val="3"/>
              <c:tx>
                <c:rich>
                  <a:bodyPr/>
                  <a:lstStyle/>
                  <a:p>
                    <a:r>
                      <a:rPr lang="en-US" sz="1000" b="1"/>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DAF-48B3-AFB3-6CAE8F602788}"/>
                </c:ext>
              </c:extLst>
            </c:dLbl>
            <c:dLbl>
              <c:idx val="4"/>
              <c:tx>
                <c:rich>
                  <a:bodyPr/>
                  <a:lstStyle/>
                  <a:p>
                    <a:r>
                      <a:rPr lang="en-US" sz="1000" b="1"/>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DAF-48B3-AFB3-6CAE8F602788}"/>
                </c:ext>
              </c:extLst>
            </c:dLbl>
            <c:dLbl>
              <c:idx val="5"/>
              <c:tx>
                <c:rich>
                  <a:bodyPr/>
                  <a:lstStyle/>
                  <a:p>
                    <a:r>
                      <a:rPr lang="en-US" sz="1000" b="1"/>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DAF-48B3-AFB3-6CAE8F602788}"/>
                </c:ext>
              </c:extLst>
            </c:dLbl>
            <c:dLbl>
              <c:idx val="6"/>
              <c:tx>
                <c:rich>
                  <a:bodyPr/>
                  <a:lstStyle/>
                  <a:p>
                    <a:r>
                      <a:rPr lang="en-US" sz="1000" b="1"/>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3DAF-48B3-AFB3-6CAE8F602788}"/>
                </c:ext>
              </c:extLst>
            </c:dLbl>
            <c:dLbl>
              <c:idx val="7"/>
              <c:layout>
                <c:manualLayout>
                  <c:x val="0"/>
                  <c:y val="0"/>
                </c:manualLayout>
              </c:layout>
              <c:tx>
                <c:rich>
                  <a:bodyPr/>
                  <a:lstStyle/>
                  <a:p>
                    <a:r>
                      <a:rPr lang="en-US" sz="1000" b="1"/>
                      <a:t>bc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DAF-48B3-AFB3-6CAE8F60278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[cor.xlsx]firmeza!$G$3:$N$4</c:f>
              <c:multiLvlStrCache>
                <c:ptCount val="8"/>
                <c:lvl>
                  <c:pt idx="0">
                    <c:v>c/ casca</c:v>
                  </c:pt>
                  <c:pt idx="1">
                    <c:v>s/casca</c:v>
                  </c:pt>
                  <c:pt idx="2">
                    <c:v>c/ casca</c:v>
                  </c:pt>
                  <c:pt idx="3">
                    <c:v>s/ casca</c:v>
                  </c:pt>
                  <c:pt idx="4">
                    <c:v>c/ casca</c:v>
                  </c:pt>
                  <c:pt idx="5">
                    <c:v>s/casca</c:v>
                  </c:pt>
                  <c:pt idx="6">
                    <c:v>c/ casca</c:v>
                  </c:pt>
                  <c:pt idx="7">
                    <c:v>s/ casca</c:v>
                  </c:pt>
                </c:lvl>
                <c:lvl>
                  <c:pt idx="0">
                    <c:v>laranja</c:v>
                  </c:pt>
                  <c:pt idx="2">
                    <c:v>verde</c:v>
                  </c:pt>
                  <c:pt idx="4">
                    <c:v>Rosso</c:v>
                  </c:pt>
                  <c:pt idx="6">
                    <c:v>Gialla</c:v>
                  </c:pt>
                </c:lvl>
              </c:multiLvlStrCache>
            </c:multiLvlStrRef>
          </c:cat>
          <c:val>
            <c:numRef>
              <c:f>[cor.xlsx]firmeza!$G$17:$N$17</c:f>
              <c:numCache>
                <c:formatCode>General</c:formatCode>
                <c:ptCount val="8"/>
                <c:pt idx="0">
                  <c:v>42.583333333333336</c:v>
                </c:pt>
                <c:pt idx="1">
                  <c:v>12.024999999999999</c:v>
                </c:pt>
                <c:pt idx="2">
                  <c:v>43.275000000000006</c:v>
                </c:pt>
                <c:pt idx="3">
                  <c:v>12.6</c:v>
                </c:pt>
                <c:pt idx="4">
                  <c:v>54.741666666666667</c:v>
                </c:pt>
                <c:pt idx="5">
                  <c:v>8.8166666666666664</c:v>
                </c:pt>
                <c:pt idx="6">
                  <c:v>42.533333333333339</c:v>
                </c:pt>
                <c:pt idx="7">
                  <c:v>10.258333333333333</c:v>
                </c:pt>
              </c:numCache>
            </c:numRef>
          </c:val>
          <c:extLst xmlns:c16r2="http://schemas.microsoft.com/office/drawing/2015/06/chart">
            <c:ext xmlns:c16="http://schemas.microsoft.com/office/drawing/2014/chart" uri="{C3380CC4-5D6E-409C-BE32-E72D297353CC}">
              <c16:uniqueId val="{00000008-3DAF-48B3-AFB3-6CAE8F602788}"/>
            </c:ext>
          </c:extLst>
        </c:ser>
        <c:dLbls>
          <c:showLegendKey val="0"/>
          <c:showVal val="0"/>
          <c:showCatName val="0"/>
          <c:showSerName val="0"/>
          <c:showPercent val="0"/>
          <c:showBubbleSize val="0"/>
        </c:dLbls>
        <c:gapWidth val="150"/>
        <c:axId val="133168512"/>
        <c:axId val="132981888"/>
      </c:barChart>
      <c:catAx>
        <c:axId val="133168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981888"/>
        <c:crosses val="autoZero"/>
        <c:auto val="1"/>
        <c:lblAlgn val="ctr"/>
        <c:lblOffset val="100"/>
        <c:noMultiLvlLbl val="0"/>
      </c:catAx>
      <c:valAx>
        <c:axId val="1329818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firmeza (N)</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168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27559055118109"/>
          <c:y val="2.5428331875182269E-2"/>
          <c:w val="0.82505774278215227"/>
          <c:h val="0.74350320793234181"/>
        </c:manualLayout>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C4F-4A26-9DF1-C353D17588E3}"/>
                </c:ext>
              </c:extLst>
            </c:dLbl>
            <c:dLbl>
              <c:idx val="1"/>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C4F-4A26-9DF1-C353D17588E3}"/>
                </c:ext>
              </c:extLst>
            </c:dLbl>
            <c:dLbl>
              <c:idx val="2"/>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C4F-4A26-9DF1-C353D17588E3}"/>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C4F-4A26-9DF1-C353D17588E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brix!$B$3:$E$3</c:f>
              <c:strCache>
                <c:ptCount val="4"/>
                <c:pt idx="0">
                  <c:v>laranja</c:v>
                </c:pt>
                <c:pt idx="1">
                  <c:v>verde</c:v>
                </c:pt>
                <c:pt idx="2">
                  <c:v>Rosso</c:v>
                </c:pt>
                <c:pt idx="3">
                  <c:v>Gialla</c:v>
                </c:pt>
              </c:strCache>
            </c:strRef>
          </c:cat>
          <c:val>
            <c:numRef>
              <c:f>brix!$B$4:$E$4</c:f>
              <c:numCache>
                <c:formatCode>0.0</c:formatCode>
                <c:ptCount val="4"/>
                <c:pt idx="0">
                  <c:v>14.33333</c:v>
                </c:pt>
                <c:pt idx="1">
                  <c:v>13.56667</c:v>
                </c:pt>
                <c:pt idx="2">
                  <c:v>13.23333</c:v>
                </c:pt>
                <c:pt idx="3">
                  <c:v>14.6</c:v>
                </c:pt>
              </c:numCache>
            </c:numRef>
          </c:val>
          <c:extLst xmlns:c16r2="http://schemas.microsoft.com/office/drawing/2015/06/chart">
            <c:ext xmlns:c16="http://schemas.microsoft.com/office/drawing/2014/chart" uri="{C3380CC4-5D6E-409C-BE32-E72D297353CC}">
              <c16:uniqueId val="{00000000-5C4F-4A26-9DF1-C353D17588E3}"/>
            </c:ext>
          </c:extLst>
        </c:ser>
        <c:dLbls>
          <c:showLegendKey val="0"/>
          <c:showVal val="0"/>
          <c:showCatName val="0"/>
          <c:showSerName val="0"/>
          <c:showPercent val="0"/>
          <c:showBubbleSize val="0"/>
        </c:dLbls>
        <c:gapWidth val="150"/>
        <c:axId val="133008384"/>
        <c:axId val="133018368"/>
      </c:barChart>
      <c:catAx>
        <c:axId val="133008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18368"/>
        <c:crosses val="autoZero"/>
        <c:auto val="1"/>
        <c:lblAlgn val="ctr"/>
        <c:lblOffset val="100"/>
        <c:noMultiLvlLbl val="0"/>
      </c:catAx>
      <c:valAx>
        <c:axId val="1330183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latin typeface="Calibri" panose="020F0502020204030204" pitchFamily="34" charset="0"/>
                  </a:rPr>
                  <a:t>°Brix</a:t>
                </a:r>
                <a:endParaRPr lang="pt-PT"/>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08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091-4F9E-AAE0-736CFF3AEE75}"/>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091-4F9E-AAE0-736CFF3AEE75}"/>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091-4F9E-AAE0-736CFF3AEE75}"/>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0091-4F9E-AAE0-736CFF3AEE7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brix!$B$8:$E$8</c:f>
              <c:strCache>
                <c:ptCount val="4"/>
                <c:pt idx="0">
                  <c:v>laranja</c:v>
                </c:pt>
                <c:pt idx="1">
                  <c:v>verde</c:v>
                </c:pt>
                <c:pt idx="2">
                  <c:v>Rosso</c:v>
                </c:pt>
                <c:pt idx="3">
                  <c:v>Gialla</c:v>
                </c:pt>
              </c:strCache>
            </c:strRef>
          </c:cat>
          <c:val>
            <c:numRef>
              <c:f>brix!$B$9:$E$9</c:f>
              <c:numCache>
                <c:formatCode>0.0</c:formatCode>
                <c:ptCount val="4"/>
                <c:pt idx="0">
                  <c:v>5.9533329999999998</c:v>
                </c:pt>
                <c:pt idx="1">
                  <c:v>6.16</c:v>
                </c:pt>
                <c:pt idx="2">
                  <c:v>6.1233329999999997</c:v>
                </c:pt>
                <c:pt idx="3">
                  <c:v>6.0633330000000001</c:v>
                </c:pt>
              </c:numCache>
            </c:numRef>
          </c:val>
          <c:extLst xmlns:c16r2="http://schemas.microsoft.com/office/drawing/2015/06/chart">
            <c:ext xmlns:c16="http://schemas.microsoft.com/office/drawing/2014/chart" uri="{C3380CC4-5D6E-409C-BE32-E72D297353CC}">
              <c16:uniqueId val="{00000000-0091-4F9E-AAE0-736CFF3AEE75}"/>
            </c:ext>
          </c:extLst>
        </c:ser>
        <c:dLbls>
          <c:dLblPos val="outEnd"/>
          <c:showLegendKey val="0"/>
          <c:showVal val="1"/>
          <c:showCatName val="0"/>
          <c:showSerName val="0"/>
          <c:showPercent val="0"/>
          <c:showBubbleSize val="0"/>
        </c:dLbls>
        <c:gapWidth val="150"/>
        <c:axId val="133047808"/>
        <c:axId val="133063040"/>
      </c:barChart>
      <c:catAx>
        <c:axId val="133047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63040"/>
        <c:crosses val="autoZero"/>
        <c:auto val="1"/>
        <c:lblAlgn val="ctr"/>
        <c:lblOffset val="100"/>
        <c:noMultiLvlLbl val="0"/>
      </c:catAx>
      <c:valAx>
        <c:axId val="133063040"/>
        <c:scaling>
          <c:orientation val="minMax"/>
          <c:min val="5.0000000000000098"/>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pH</a:t>
                </a:r>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47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09F-45B0-ADFE-983672538BC1}"/>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09F-45B0-ADFE-983672538BC1}"/>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09F-45B0-ADFE-983672538BC1}"/>
                </c:ext>
              </c:extLst>
            </c:dLbl>
            <c:dLbl>
              <c:idx val="3"/>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09F-45B0-ADFE-983672538BC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brix!$B$12:$E$12</c:f>
              <c:strCache>
                <c:ptCount val="4"/>
                <c:pt idx="0">
                  <c:v>laranja</c:v>
                </c:pt>
                <c:pt idx="1">
                  <c:v>verde</c:v>
                </c:pt>
                <c:pt idx="2">
                  <c:v>Rosso</c:v>
                </c:pt>
                <c:pt idx="3">
                  <c:v>Gialla</c:v>
                </c:pt>
              </c:strCache>
            </c:strRef>
          </c:cat>
          <c:val>
            <c:numRef>
              <c:f>brix!$B$13:$E$13</c:f>
              <c:numCache>
                <c:formatCode>General</c:formatCode>
                <c:ptCount val="4"/>
                <c:pt idx="0">
                  <c:v>6.250667E-2</c:v>
                </c:pt>
                <c:pt idx="1">
                  <c:v>5.2479999999999999E-2</c:v>
                </c:pt>
                <c:pt idx="2">
                  <c:v>6.2293300000000003E-2</c:v>
                </c:pt>
                <c:pt idx="3">
                  <c:v>2.2186999999999998E-2</c:v>
                </c:pt>
              </c:numCache>
            </c:numRef>
          </c:val>
          <c:extLst xmlns:c16r2="http://schemas.microsoft.com/office/drawing/2015/06/chart">
            <c:ext xmlns:c16="http://schemas.microsoft.com/office/drawing/2014/chart" uri="{C3380CC4-5D6E-409C-BE32-E72D297353CC}">
              <c16:uniqueId val="{00000000-A09F-45B0-ADFE-983672538BC1}"/>
            </c:ext>
          </c:extLst>
        </c:ser>
        <c:dLbls>
          <c:showLegendKey val="0"/>
          <c:showVal val="0"/>
          <c:showCatName val="0"/>
          <c:showSerName val="0"/>
          <c:showPercent val="0"/>
          <c:showBubbleSize val="0"/>
        </c:dLbls>
        <c:gapWidth val="150"/>
        <c:axId val="133081344"/>
        <c:axId val="133087232"/>
      </c:barChart>
      <c:catAx>
        <c:axId val="133081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87232"/>
        <c:crosses val="autoZero"/>
        <c:auto val="1"/>
        <c:lblAlgn val="ctr"/>
        <c:lblOffset val="100"/>
        <c:noMultiLvlLbl val="0"/>
      </c:catAx>
      <c:valAx>
        <c:axId val="1330872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g/L</a:t>
                </a:r>
                <a:r>
                  <a:rPr lang="pt-PT" baseline="0"/>
                  <a:t> ácido citrico</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081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Fenois!$AD$29</c:f>
              <c:strCache>
                <c:ptCount val="1"/>
                <c:pt idx="0">
                  <c:v>casca</c:v>
                </c:pt>
              </c:strCache>
            </c:strRef>
          </c:tx>
          <c:spPr>
            <a:solidFill>
              <a:schemeClr val="accent1"/>
            </a:solidFill>
            <a:ln>
              <a:noFill/>
            </a:ln>
            <a:effectLst/>
          </c:spPr>
          <c:invertIfNegative val="0"/>
          <c:dLbls>
            <c:dLbl>
              <c:idx val="0"/>
              <c:layout>
                <c:manualLayout>
                  <c:x val="0"/>
                  <c:y val="2.3148148148148147E-2"/>
                </c:manualLayout>
              </c:layout>
              <c:tx>
                <c:rich>
                  <a:bodyPr/>
                  <a:lstStyle/>
                  <a:p>
                    <a:r>
                      <a:rPr lang="en-US" sz="1000" b="1"/>
                      <a:t> 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AAC-4751-9770-DF8C9CEA75FB}"/>
                </c:ext>
              </c:extLst>
            </c:dLbl>
            <c:dLbl>
              <c:idx val="1"/>
              <c:layout>
                <c:manualLayout>
                  <c:x val="0"/>
                  <c:y val="2.7777777777777801E-2"/>
                </c:manualLayout>
              </c:layout>
              <c:tx>
                <c:rich>
                  <a:bodyPr/>
                  <a:lstStyle/>
                  <a:p>
                    <a:r>
                      <a:rPr lang="en-US" sz="1000" b="1"/>
                      <a:t>A </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AAC-4751-9770-DF8C9CEA75FB}"/>
                </c:ext>
              </c:extLst>
            </c:dLbl>
            <c:dLbl>
              <c:idx val="2"/>
              <c:layout>
                <c:manualLayout>
                  <c:x val="5.5555555555555558E-3"/>
                  <c:y val="2.7777413240011664E-2"/>
                </c:manualLayout>
              </c:layout>
              <c:tx>
                <c:rich>
                  <a:bodyPr/>
                  <a:lstStyle/>
                  <a:p>
                    <a:r>
                      <a:rPr lang="en-US" sz="1000" b="1"/>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AAC-4751-9770-DF8C9CEA75FB}"/>
                </c:ext>
              </c:extLst>
            </c:dLbl>
            <c:dLbl>
              <c:idx val="3"/>
              <c:layout>
                <c:manualLayout>
                  <c:x val="-2.7777777777777779E-3"/>
                  <c:y val="1.8518518518518517E-2"/>
                </c:manualLayout>
              </c:layout>
              <c:tx>
                <c:rich>
                  <a:bodyPr/>
                  <a:lstStyle/>
                  <a:p>
                    <a:r>
                      <a:rPr lang="en-US" sz="1000" b="1" baseline="0"/>
                      <a:t> AB </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AAC-4751-9770-DF8C9CEA75F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Fenois!$AE$28:$AH$28</c:f>
              <c:strCache>
                <c:ptCount val="4"/>
                <c:pt idx="0">
                  <c:v>laranja</c:v>
                </c:pt>
                <c:pt idx="1">
                  <c:v>verde</c:v>
                </c:pt>
                <c:pt idx="2">
                  <c:v>Rosso</c:v>
                </c:pt>
                <c:pt idx="3">
                  <c:v>Gialla</c:v>
                </c:pt>
              </c:strCache>
            </c:strRef>
          </c:cat>
          <c:val>
            <c:numRef>
              <c:f>Fenois!$AE$29:$AH$29</c:f>
              <c:numCache>
                <c:formatCode>General</c:formatCode>
                <c:ptCount val="4"/>
                <c:pt idx="0">
                  <c:v>11.879</c:v>
                </c:pt>
                <c:pt idx="1">
                  <c:v>23.097999999999999</c:v>
                </c:pt>
                <c:pt idx="2">
                  <c:v>21.873999999999999</c:v>
                </c:pt>
                <c:pt idx="3">
                  <c:v>18.364999999999998</c:v>
                </c:pt>
              </c:numCache>
            </c:numRef>
          </c:val>
          <c:extLst xmlns:c16r2="http://schemas.microsoft.com/office/drawing/2015/06/chart">
            <c:ext xmlns:c16="http://schemas.microsoft.com/office/drawing/2014/chart" uri="{C3380CC4-5D6E-409C-BE32-E72D297353CC}">
              <c16:uniqueId val="{00000004-8AAC-4751-9770-DF8C9CEA75FB}"/>
            </c:ext>
          </c:extLst>
        </c:ser>
        <c:ser>
          <c:idx val="1"/>
          <c:order val="1"/>
          <c:tx>
            <c:strRef>
              <c:f>Fenois!$AD$30</c:f>
              <c:strCache>
                <c:ptCount val="1"/>
                <c:pt idx="0">
                  <c:v>polpa</c:v>
                </c:pt>
              </c:strCache>
            </c:strRef>
          </c:tx>
          <c:spPr>
            <a:solidFill>
              <a:schemeClr val="accent2"/>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AAC-4751-9770-DF8C9CEA75FB}"/>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AAC-4751-9770-DF8C9CEA75FB}"/>
                </c:ext>
              </c:extLst>
            </c:dLbl>
            <c:dLbl>
              <c:idx val="2"/>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AAC-4751-9770-DF8C9CEA75FB}"/>
                </c:ext>
              </c:extLst>
            </c:dLbl>
            <c:dLbl>
              <c:idx val="3"/>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AAC-4751-9770-DF8C9CEA75FB}"/>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Fenois!$AE$28:$AH$28</c:f>
              <c:strCache>
                <c:ptCount val="4"/>
                <c:pt idx="0">
                  <c:v>laranja</c:v>
                </c:pt>
                <c:pt idx="1">
                  <c:v>verde</c:v>
                </c:pt>
                <c:pt idx="2">
                  <c:v>Rosso</c:v>
                </c:pt>
                <c:pt idx="3">
                  <c:v>Gialla</c:v>
                </c:pt>
              </c:strCache>
            </c:strRef>
          </c:cat>
          <c:val>
            <c:numRef>
              <c:f>Fenois!$AE$30:$AH$30</c:f>
              <c:numCache>
                <c:formatCode>General</c:formatCode>
                <c:ptCount val="4"/>
                <c:pt idx="0">
                  <c:v>3.7060170000000001</c:v>
                </c:pt>
                <c:pt idx="1">
                  <c:v>5.0811469999999996</c:v>
                </c:pt>
                <c:pt idx="2">
                  <c:v>3.88375</c:v>
                </c:pt>
                <c:pt idx="3">
                  <c:v>4.082306</c:v>
                </c:pt>
              </c:numCache>
            </c:numRef>
          </c:val>
          <c:extLst xmlns:c16r2="http://schemas.microsoft.com/office/drawing/2015/06/chart">
            <c:ext xmlns:c16="http://schemas.microsoft.com/office/drawing/2014/chart" uri="{C3380CC4-5D6E-409C-BE32-E72D297353CC}">
              <c16:uniqueId val="{00000009-8AAC-4751-9770-DF8C9CEA75FB}"/>
            </c:ext>
          </c:extLst>
        </c:ser>
        <c:dLbls>
          <c:dLblPos val="outEnd"/>
          <c:showLegendKey val="0"/>
          <c:showVal val="1"/>
          <c:showCatName val="0"/>
          <c:showSerName val="0"/>
          <c:showPercent val="0"/>
          <c:showBubbleSize val="0"/>
        </c:dLbls>
        <c:gapWidth val="150"/>
        <c:axId val="133280896"/>
        <c:axId val="133282432"/>
      </c:barChart>
      <c:catAx>
        <c:axId val="13328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282432"/>
        <c:crosses val="autoZero"/>
        <c:auto val="1"/>
        <c:lblAlgn val="ctr"/>
        <c:lblOffset val="100"/>
        <c:noMultiLvlLbl val="0"/>
      </c:catAx>
      <c:valAx>
        <c:axId val="133282432"/>
        <c:scaling>
          <c:orientation val="minMax"/>
          <c:max val="3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Fenois totais (mg GAE/g peso fresco)</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2808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'[teac (Fev2017).xlsx]Plan1'!$B$55</c:f>
              <c:strCache>
                <c:ptCount val="1"/>
                <c:pt idx="0">
                  <c:v>casca</c:v>
                </c:pt>
              </c:strCache>
            </c:strRef>
          </c:tx>
          <c:spPr>
            <a:solidFill>
              <a:schemeClr val="accent1"/>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4ADC-49D6-BAAC-CE0F9762FD65}"/>
                </c:ext>
              </c:extLst>
            </c:dLbl>
            <c:dLbl>
              <c:idx val="1"/>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4ADC-49D6-BAAC-CE0F9762FD65}"/>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4ADC-49D6-BAAC-CE0F9762FD65}"/>
                </c:ext>
              </c:extLst>
            </c:dLbl>
            <c:dLbl>
              <c:idx val="3"/>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4ADC-49D6-BAAC-CE0F9762FD6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'[teac (Fev2017).xlsx]Plan1'!$C$54:$F$54</c:f>
              <c:strCache>
                <c:ptCount val="4"/>
                <c:pt idx="0">
                  <c:v>laranja</c:v>
                </c:pt>
                <c:pt idx="1">
                  <c:v>verde</c:v>
                </c:pt>
                <c:pt idx="2">
                  <c:v>Roxo</c:v>
                </c:pt>
                <c:pt idx="3">
                  <c:v>Gialla</c:v>
                </c:pt>
              </c:strCache>
            </c:strRef>
          </c:cat>
          <c:val>
            <c:numRef>
              <c:f>'[teac (Fev2017).xlsx]Plan1'!$C$55:$F$55</c:f>
              <c:numCache>
                <c:formatCode>General</c:formatCode>
                <c:ptCount val="4"/>
                <c:pt idx="0">
                  <c:v>2.5645239100000001</c:v>
                </c:pt>
                <c:pt idx="1">
                  <c:v>3.9137806670000002</c:v>
                </c:pt>
                <c:pt idx="2">
                  <c:v>5.7706840000000001</c:v>
                </c:pt>
                <c:pt idx="3">
                  <c:v>5.3460320000000001</c:v>
                </c:pt>
              </c:numCache>
            </c:numRef>
          </c:val>
          <c:extLst xmlns:c16r2="http://schemas.microsoft.com/office/drawing/2015/06/chart">
            <c:ext xmlns:c16="http://schemas.microsoft.com/office/drawing/2014/chart" uri="{C3380CC4-5D6E-409C-BE32-E72D297353CC}">
              <c16:uniqueId val="{00000000-4ADC-49D6-BAAC-CE0F9762FD65}"/>
            </c:ext>
          </c:extLst>
        </c:ser>
        <c:ser>
          <c:idx val="1"/>
          <c:order val="1"/>
          <c:tx>
            <c:strRef>
              <c:f>'[teac (Fev2017).xlsx]Plan1'!$B$56</c:f>
              <c:strCache>
                <c:ptCount val="1"/>
                <c:pt idx="0">
                  <c:v>polpa</c:v>
                </c:pt>
              </c:strCache>
            </c:strRef>
          </c:tx>
          <c:spPr>
            <a:solidFill>
              <a:schemeClr val="accent2"/>
            </a:solidFill>
            <a:ln>
              <a:noFill/>
            </a:ln>
            <a:effectLst/>
          </c:spPr>
          <c:invertIfNegative val="0"/>
          <c:dLbls>
            <c:dLbl>
              <c:idx val="0"/>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4ADC-49D6-BAAC-CE0F9762FD65}"/>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4ADC-49D6-BAAC-CE0F9762FD65}"/>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4ADC-49D6-BAAC-CE0F9762FD65}"/>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4ADC-49D6-BAAC-CE0F9762FD6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'[teac (Fev2017).xlsx]Plan1'!$C$54:$F$54</c:f>
              <c:strCache>
                <c:ptCount val="4"/>
                <c:pt idx="0">
                  <c:v>laranja</c:v>
                </c:pt>
                <c:pt idx="1">
                  <c:v>verde</c:v>
                </c:pt>
                <c:pt idx="2">
                  <c:v>Roxo</c:v>
                </c:pt>
                <c:pt idx="3">
                  <c:v>Gialla</c:v>
                </c:pt>
              </c:strCache>
            </c:strRef>
          </c:cat>
          <c:val>
            <c:numRef>
              <c:f>'[teac (Fev2017).xlsx]Plan1'!$C$56:$F$56</c:f>
              <c:numCache>
                <c:formatCode>General</c:formatCode>
                <c:ptCount val="4"/>
                <c:pt idx="0">
                  <c:v>2.3406276670000001</c:v>
                </c:pt>
                <c:pt idx="1">
                  <c:v>2.9515183330000001</c:v>
                </c:pt>
                <c:pt idx="2">
                  <c:v>3.4733556669999999</c:v>
                </c:pt>
                <c:pt idx="3">
                  <c:v>2.967514</c:v>
                </c:pt>
              </c:numCache>
            </c:numRef>
          </c:val>
          <c:extLst xmlns:c16r2="http://schemas.microsoft.com/office/drawing/2015/06/chart">
            <c:ext xmlns:c16="http://schemas.microsoft.com/office/drawing/2014/chart" uri="{C3380CC4-5D6E-409C-BE32-E72D297353CC}">
              <c16:uniqueId val="{00000001-4ADC-49D6-BAAC-CE0F9762FD65}"/>
            </c:ext>
          </c:extLst>
        </c:ser>
        <c:dLbls>
          <c:dLblPos val="outEnd"/>
          <c:showLegendKey val="0"/>
          <c:showVal val="1"/>
          <c:showCatName val="0"/>
          <c:showSerName val="0"/>
          <c:showPercent val="0"/>
          <c:showBubbleSize val="0"/>
        </c:dLbls>
        <c:gapWidth val="150"/>
        <c:axId val="133326720"/>
        <c:axId val="133328256"/>
      </c:barChart>
      <c:catAx>
        <c:axId val="133326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328256"/>
        <c:crosses val="autoZero"/>
        <c:auto val="1"/>
        <c:lblAlgn val="ctr"/>
        <c:lblOffset val="100"/>
        <c:noMultiLvlLbl val="0"/>
      </c:catAx>
      <c:valAx>
        <c:axId val="1333282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Atividade antioxidante (mmol TE/g peso fresco)</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3267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PT"/>
              <a:t>Reta Padrão</a:t>
            </a: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3.8785651793525812E-2"/>
                  <c:y val="-9.1029090113735778E-2"/>
                </c:manualLayout>
              </c:layout>
              <c:numFmt formatCode="General" sourceLinked="0"/>
            </c:trendlineLbl>
          </c:trendline>
          <c:xVal>
            <c:numRef>
              <c:f>'[teac (Fev2017).xlsx]Plan1'!$I$56:$I$59</c:f>
              <c:numCache>
                <c:formatCode>General</c:formatCode>
                <c:ptCount val="4"/>
                <c:pt idx="0">
                  <c:v>500</c:v>
                </c:pt>
                <c:pt idx="1">
                  <c:v>1000</c:v>
                </c:pt>
                <c:pt idx="2">
                  <c:v>1500</c:v>
                </c:pt>
                <c:pt idx="3">
                  <c:v>2000</c:v>
                </c:pt>
              </c:numCache>
            </c:numRef>
          </c:xVal>
          <c:yVal>
            <c:numRef>
              <c:f>'[teac (Fev2017).xlsx]Plan1'!$J$56:$J$59</c:f>
              <c:numCache>
                <c:formatCode>General</c:formatCode>
                <c:ptCount val="4"/>
                <c:pt idx="0">
                  <c:v>27.369814045183329</c:v>
                </c:pt>
                <c:pt idx="1">
                  <c:v>40.686793870023102</c:v>
                </c:pt>
                <c:pt idx="2">
                  <c:v>42.354827625701525</c:v>
                </c:pt>
                <c:pt idx="3">
                  <c:v>48.553863529400324</c:v>
                </c:pt>
              </c:numCache>
            </c:numRef>
          </c:yVal>
          <c:smooth val="0"/>
          <c:extLst xmlns:c16r2="http://schemas.microsoft.com/office/drawing/2015/06/chart">
            <c:ext xmlns:c16="http://schemas.microsoft.com/office/drawing/2014/chart" uri="{C3380CC4-5D6E-409C-BE32-E72D297353CC}">
              <c16:uniqueId val="{00000001-1E24-4C93-8D34-B4B7A0C937C2}"/>
            </c:ext>
          </c:extLst>
        </c:ser>
        <c:dLbls>
          <c:showLegendKey val="0"/>
          <c:showVal val="0"/>
          <c:showCatName val="0"/>
          <c:showSerName val="0"/>
          <c:showPercent val="0"/>
          <c:showBubbleSize val="0"/>
        </c:dLbls>
        <c:axId val="86363520"/>
        <c:axId val="86365696"/>
      </c:scatterChart>
      <c:valAx>
        <c:axId val="86363520"/>
        <c:scaling>
          <c:orientation val="minMax"/>
        </c:scaling>
        <c:delete val="0"/>
        <c:axPos val="b"/>
        <c:title>
          <c:tx>
            <c:rich>
              <a:bodyPr/>
              <a:lstStyle/>
              <a:p>
                <a:pPr>
                  <a:defRPr/>
                </a:pPr>
                <a:r>
                  <a:rPr lang="en-US"/>
                  <a:t>uM trolox</a:t>
                </a:r>
              </a:p>
            </c:rich>
          </c:tx>
          <c:overlay val="0"/>
        </c:title>
        <c:numFmt formatCode="General" sourceLinked="1"/>
        <c:majorTickMark val="out"/>
        <c:minorTickMark val="none"/>
        <c:tickLblPos val="nextTo"/>
        <c:crossAx val="86365696"/>
        <c:crosses val="autoZero"/>
        <c:crossBetween val="midCat"/>
      </c:valAx>
      <c:valAx>
        <c:axId val="86365696"/>
        <c:scaling>
          <c:orientation val="minMax"/>
        </c:scaling>
        <c:delete val="0"/>
        <c:axPos val="l"/>
        <c:title>
          <c:tx>
            <c:rich>
              <a:bodyPr rot="-5400000" vert="horz"/>
              <a:lstStyle/>
              <a:p>
                <a:pPr>
                  <a:defRPr/>
                </a:pPr>
                <a:r>
                  <a:rPr lang="en-US"/>
                  <a:t>% inibição</a:t>
                </a:r>
              </a:p>
            </c:rich>
          </c:tx>
          <c:overlay val="0"/>
        </c:title>
        <c:numFmt formatCode="General" sourceLinked="1"/>
        <c:majorTickMark val="out"/>
        <c:minorTickMark val="none"/>
        <c:tickLblPos val="nextTo"/>
        <c:crossAx val="86363520"/>
        <c:crosses val="autoZero"/>
        <c:crossBetween val="midCat"/>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DPPH!$P$29</c:f>
              <c:strCache>
                <c:ptCount val="1"/>
                <c:pt idx="0">
                  <c:v>casca</c:v>
                </c:pt>
              </c:strCache>
            </c:strRef>
          </c:tx>
          <c:spPr>
            <a:solidFill>
              <a:schemeClr val="accent1"/>
            </a:solidFill>
            <a:ln>
              <a:noFill/>
            </a:ln>
            <a:effectLst/>
          </c:spPr>
          <c:invertIfNegative val="0"/>
          <c:dLbls>
            <c:dLbl>
              <c:idx val="0"/>
              <c:layout>
                <c:manualLayout>
                  <c:x val="0"/>
                  <c:y val="1.3888888888888888E-2"/>
                </c:manualLayout>
              </c:layout>
              <c:tx>
                <c:rich>
                  <a:bodyPr/>
                  <a:lstStyle/>
                  <a:p>
                    <a:r>
                      <a:rPr lang="en-US" sz="1000" b="1"/>
                      <a:t>A </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231-4B25-B0F7-97200D323B12}"/>
                </c:ext>
              </c:extLst>
            </c:dLbl>
            <c:dLbl>
              <c:idx val="1"/>
              <c:tx>
                <c:rich>
                  <a:bodyPr/>
                  <a:lstStyle/>
                  <a:p>
                    <a:r>
                      <a:rPr lang="en-US" sz="1000" b="1"/>
                      <a:t>A </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231-4B25-B0F7-97200D323B12}"/>
                </c:ext>
              </c:extLst>
            </c:dLbl>
            <c:dLbl>
              <c:idx val="2"/>
              <c:tx>
                <c:rich>
                  <a:bodyPr/>
                  <a:lstStyle/>
                  <a:p>
                    <a:r>
                      <a:rPr lang="en-US" sz="1000" b="1"/>
                      <a:t>A</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231-4B25-B0F7-97200D323B12}"/>
                </c:ext>
              </c:extLst>
            </c:dLbl>
            <c:dLbl>
              <c:idx val="3"/>
              <c:layout>
                <c:manualLayout>
                  <c:x val="2.7775590551181104E-3"/>
                  <c:y val="1.8518518518518517E-2"/>
                </c:manualLayout>
              </c:layout>
              <c:tx>
                <c:rich>
                  <a:bodyPr/>
                  <a:lstStyle/>
                  <a:p>
                    <a:r>
                      <a:rPr lang="en-US" sz="1000" b="1"/>
                      <a:t>A </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231-4B25-B0F7-97200D323B1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DPPH!$Q$28:$T$28</c:f>
              <c:strCache>
                <c:ptCount val="4"/>
                <c:pt idx="0">
                  <c:v>Laranja</c:v>
                </c:pt>
                <c:pt idx="1">
                  <c:v>Verde</c:v>
                </c:pt>
                <c:pt idx="2">
                  <c:v>Rosso</c:v>
                </c:pt>
                <c:pt idx="3">
                  <c:v>Gialla</c:v>
                </c:pt>
              </c:strCache>
            </c:strRef>
          </c:cat>
          <c:val>
            <c:numRef>
              <c:f>DPPH!$Q$29:$T$29</c:f>
              <c:numCache>
                <c:formatCode>0.0</c:formatCode>
                <c:ptCount val="4"/>
                <c:pt idx="0">
                  <c:v>0.53986400000000001</c:v>
                </c:pt>
                <c:pt idx="1">
                  <c:v>0.52126300000000003</c:v>
                </c:pt>
                <c:pt idx="2">
                  <c:v>0.55073399999999995</c:v>
                </c:pt>
                <c:pt idx="3">
                  <c:v>0.81547400000000003</c:v>
                </c:pt>
              </c:numCache>
            </c:numRef>
          </c:val>
          <c:extLst xmlns:c16r2="http://schemas.microsoft.com/office/drawing/2015/06/chart">
            <c:ext xmlns:c16="http://schemas.microsoft.com/office/drawing/2014/chart" uri="{C3380CC4-5D6E-409C-BE32-E72D297353CC}">
              <c16:uniqueId val="{00000004-D231-4B25-B0F7-97200D323B12}"/>
            </c:ext>
          </c:extLst>
        </c:ser>
        <c:ser>
          <c:idx val="1"/>
          <c:order val="1"/>
          <c:tx>
            <c:strRef>
              <c:f>DPPH!$P$30</c:f>
              <c:strCache>
                <c:ptCount val="1"/>
                <c:pt idx="0">
                  <c:v>polpa</c:v>
                </c:pt>
              </c:strCache>
            </c:strRef>
          </c:tx>
          <c:spPr>
            <a:solidFill>
              <a:schemeClr val="accent2"/>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231-4B25-B0F7-97200D323B12}"/>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231-4B25-B0F7-97200D323B12}"/>
                </c:ext>
              </c:extLst>
            </c:dLbl>
            <c:dLbl>
              <c:idx val="2"/>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231-4B25-B0F7-97200D323B12}"/>
                </c:ext>
              </c:extLst>
            </c:dLbl>
            <c:dLbl>
              <c:idx val="3"/>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231-4B25-B0F7-97200D323B12}"/>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DPPH!$Q$28:$T$28</c:f>
              <c:strCache>
                <c:ptCount val="4"/>
                <c:pt idx="0">
                  <c:v>Laranja</c:v>
                </c:pt>
                <c:pt idx="1">
                  <c:v>Verde</c:v>
                </c:pt>
                <c:pt idx="2">
                  <c:v>Rosso</c:v>
                </c:pt>
                <c:pt idx="3">
                  <c:v>Gialla</c:v>
                </c:pt>
              </c:strCache>
            </c:strRef>
          </c:cat>
          <c:val>
            <c:numRef>
              <c:f>DPPH!$Q$30:$T$30</c:f>
              <c:numCache>
                <c:formatCode>0.0</c:formatCode>
                <c:ptCount val="4"/>
                <c:pt idx="0">
                  <c:v>0.27973700000000001</c:v>
                </c:pt>
                <c:pt idx="1">
                  <c:v>0.36813800000000002</c:v>
                </c:pt>
                <c:pt idx="2">
                  <c:v>0.25548799999999999</c:v>
                </c:pt>
                <c:pt idx="3">
                  <c:v>0.31155899999999997</c:v>
                </c:pt>
              </c:numCache>
            </c:numRef>
          </c:val>
          <c:extLst xmlns:c16r2="http://schemas.microsoft.com/office/drawing/2015/06/chart">
            <c:ext xmlns:c16="http://schemas.microsoft.com/office/drawing/2014/chart" uri="{C3380CC4-5D6E-409C-BE32-E72D297353CC}">
              <c16:uniqueId val="{00000009-D231-4B25-B0F7-97200D323B12}"/>
            </c:ext>
          </c:extLst>
        </c:ser>
        <c:dLbls>
          <c:showLegendKey val="0"/>
          <c:showVal val="0"/>
          <c:showCatName val="0"/>
          <c:showSerName val="0"/>
          <c:showPercent val="0"/>
          <c:showBubbleSize val="0"/>
        </c:dLbls>
        <c:gapWidth val="150"/>
        <c:axId val="132733952"/>
        <c:axId val="132743936"/>
      </c:barChart>
      <c:catAx>
        <c:axId val="132733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743936"/>
        <c:crosses val="autoZero"/>
        <c:auto val="1"/>
        <c:lblAlgn val="ctr"/>
        <c:lblOffset val="100"/>
        <c:noMultiLvlLbl val="0"/>
      </c:catAx>
      <c:valAx>
        <c:axId val="13274393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baseline="0"/>
                  <a:t>Atividade antioxidante (mg TE / g peso fresco)</a:t>
                </a:r>
                <a:endParaRPr lang="pt-PT"/>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7339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flavonoides!$B$50</c:f>
              <c:strCache>
                <c:ptCount val="1"/>
                <c:pt idx="0">
                  <c:v>casca</c:v>
                </c:pt>
              </c:strCache>
            </c:strRef>
          </c:tx>
          <c:spPr>
            <a:solidFill>
              <a:schemeClr val="accent1"/>
            </a:solidFill>
            <a:ln>
              <a:noFill/>
            </a:ln>
            <a:effectLst/>
          </c:spPr>
          <c:invertIfNegative val="0"/>
          <c:cat>
            <c:strRef>
              <c:f>flavonoides!$C$49:$F$49</c:f>
              <c:strCache>
                <c:ptCount val="4"/>
                <c:pt idx="0">
                  <c:v>laranja</c:v>
                </c:pt>
                <c:pt idx="1">
                  <c:v>verde</c:v>
                </c:pt>
                <c:pt idx="2">
                  <c:v>Rosso</c:v>
                </c:pt>
                <c:pt idx="3">
                  <c:v>Gialla</c:v>
                </c:pt>
              </c:strCache>
            </c:strRef>
          </c:cat>
          <c:val>
            <c:numRef>
              <c:f>flavonoides!$C$50:$F$50</c:f>
              <c:numCache>
                <c:formatCode>0.0</c:formatCode>
                <c:ptCount val="4"/>
                <c:pt idx="0">
                  <c:v>0.67099999999999993</c:v>
                </c:pt>
                <c:pt idx="1">
                  <c:v>0.27610000000000001</c:v>
                </c:pt>
                <c:pt idx="2">
                  <c:v>0.40720000000000001</c:v>
                </c:pt>
                <c:pt idx="3">
                  <c:v>0.63559999999999994</c:v>
                </c:pt>
              </c:numCache>
            </c:numRef>
          </c:val>
          <c:extLst xmlns:c16r2="http://schemas.microsoft.com/office/drawing/2015/06/chart">
            <c:ext xmlns:c16="http://schemas.microsoft.com/office/drawing/2014/chart" uri="{C3380CC4-5D6E-409C-BE32-E72D297353CC}">
              <c16:uniqueId val="{00000000-1C76-4D82-A610-900087F3AF9B}"/>
            </c:ext>
          </c:extLst>
        </c:ser>
        <c:ser>
          <c:idx val="1"/>
          <c:order val="1"/>
          <c:tx>
            <c:strRef>
              <c:f>flavonoides!$B$51</c:f>
              <c:strCache>
                <c:ptCount val="1"/>
                <c:pt idx="0">
                  <c:v>polpa</c:v>
                </c:pt>
              </c:strCache>
            </c:strRef>
          </c:tx>
          <c:spPr>
            <a:solidFill>
              <a:schemeClr val="accent2"/>
            </a:solidFill>
            <a:ln>
              <a:noFill/>
            </a:ln>
            <a:effectLst/>
          </c:spPr>
          <c:invertIfNegative val="0"/>
          <c:cat>
            <c:strRef>
              <c:f>flavonoides!$C$49:$F$49</c:f>
              <c:strCache>
                <c:ptCount val="4"/>
                <c:pt idx="0">
                  <c:v>laranja</c:v>
                </c:pt>
                <c:pt idx="1">
                  <c:v>verde</c:v>
                </c:pt>
                <c:pt idx="2">
                  <c:v>Rosso</c:v>
                </c:pt>
                <c:pt idx="3">
                  <c:v>Gialla</c:v>
                </c:pt>
              </c:strCache>
            </c:strRef>
          </c:cat>
          <c:val>
            <c:numRef>
              <c:f>flavonoides!$C$51:$F$51</c:f>
              <c:numCache>
                <c:formatCode>0.0</c:formatCode>
                <c:ptCount val="4"/>
                <c:pt idx="0">
                  <c:v>0.50140000000000007</c:v>
                </c:pt>
                <c:pt idx="1">
                  <c:v>0.26100000000000001</c:v>
                </c:pt>
                <c:pt idx="2">
                  <c:v>0.28570000000000001</c:v>
                </c:pt>
                <c:pt idx="3">
                  <c:v>0.18010000000000001</c:v>
                </c:pt>
              </c:numCache>
            </c:numRef>
          </c:val>
          <c:extLst xmlns:c16r2="http://schemas.microsoft.com/office/drawing/2015/06/chart">
            <c:ext xmlns:c16="http://schemas.microsoft.com/office/drawing/2014/chart" uri="{C3380CC4-5D6E-409C-BE32-E72D297353CC}">
              <c16:uniqueId val="{00000001-1C76-4D82-A610-900087F3AF9B}"/>
            </c:ext>
          </c:extLst>
        </c:ser>
        <c:dLbls>
          <c:showLegendKey val="0"/>
          <c:showVal val="0"/>
          <c:showCatName val="0"/>
          <c:showSerName val="0"/>
          <c:showPercent val="0"/>
          <c:showBubbleSize val="0"/>
        </c:dLbls>
        <c:gapWidth val="150"/>
        <c:axId val="133419008"/>
        <c:axId val="133420928"/>
      </c:barChart>
      <c:catAx>
        <c:axId val="133419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cultivar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420928"/>
        <c:crosses val="autoZero"/>
        <c:auto val="1"/>
        <c:lblAlgn val="ctr"/>
        <c:lblOffset val="100"/>
        <c:noMultiLvlLbl val="0"/>
      </c:catAx>
      <c:valAx>
        <c:axId val="1334209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Flavonoides totais</a:t>
                </a:r>
                <a:r>
                  <a:rPr lang="pt-PT" baseline="0"/>
                  <a:t> (</a:t>
                </a:r>
                <a:r>
                  <a:rPr lang="pt-PT"/>
                  <a:t>mg</a:t>
                </a:r>
                <a:r>
                  <a:rPr lang="pt-PT" baseline="0"/>
                  <a:t> QE / 100g peso fresco)</a:t>
                </a:r>
                <a:endParaRPr lang="pt-PT"/>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34190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283114610673667"/>
          <c:y val="0.17171296296296298"/>
          <c:w val="0.71976159230096237"/>
          <c:h val="0.62271617089530473"/>
        </c:manualLayout>
      </c:layout>
      <c:barChart>
        <c:barDir val="col"/>
        <c:grouping val="clustered"/>
        <c:varyColors val="0"/>
        <c:ser>
          <c:idx val="0"/>
          <c:order val="0"/>
          <c:tx>
            <c:strRef>
              <c:f>betalainas!$B$24</c:f>
              <c:strCache>
                <c:ptCount val="1"/>
                <c:pt idx="0">
                  <c:v>casca</c:v>
                </c:pt>
              </c:strCache>
            </c:strRef>
          </c:tx>
          <c:spPr>
            <a:solidFill>
              <a:schemeClr val="accent1"/>
            </a:solidFill>
            <a:ln>
              <a:noFill/>
            </a:ln>
            <a:effectLst/>
          </c:spPr>
          <c:invertIfNegative val="0"/>
          <c:dLbls>
            <c:dLbl>
              <c:idx val="0"/>
              <c:layout>
                <c:manualLayout>
                  <c:x val="5.5555555555555558E-3"/>
                  <c:y val="1.8518518518518517E-2"/>
                </c:manualLayout>
              </c:layout>
              <c:tx>
                <c:rich>
                  <a:bodyPr/>
                  <a:lstStyle/>
                  <a:p>
                    <a:r>
                      <a:rPr lang="en-US" sz="1000" b="1"/>
                      <a:t>BC </a:t>
                    </a:r>
                    <a:endParaRPr lang="en-US" b="1"/>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84C-482E-91C7-9BA2DBA26286}"/>
                </c:ext>
              </c:extLst>
            </c:dLbl>
            <c:dLbl>
              <c:idx val="1"/>
              <c:layout>
                <c:manualLayout>
                  <c:x val="0"/>
                  <c:y val="1.3888524351122776E-2"/>
                </c:manualLayout>
              </c:layout>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C </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84C-482E-91C7-9BA2DBA26286}"/>
                </c:ext>
              </c:extLst>
            </c:dLbl>
            <c:dLbl>
              <c:idx val="2"/>
              <c:layout>
                <c:manualLayout>
                  <c:x val="2.7777777777777779E-3"/>
                  <c:y val="0"/>
                </c:manualLayout>
              </c:layout>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A    </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84C-482E-91C7-9BA2DBA26286}"/>
                </c:ext>
              </c:extLst>
            </c:dLbl>
            <c:dLbl>
              <c:idx val="3"/>
              <c:layout>
                <c:manualLayout>
                  <c:x val="5.5555555555555558E-3"/>
                  <c:y val="9.2592592592592587E-3"/>
                </c:manualLayout>
              </c:layout>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B </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84C-482E-91C7-9BA2DBA26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betalainas!$C$23:$F$23</c:f>
              <c:strCache>
                <c:ptCount val="4"/>
                <c:pt idx="0">
                  <c:v>laranja</c:v>
                </c:pt>
                <c:pt idx="1">
                  <c:v>verde</c:v>
                </c:pt>
                <c:pt idx="2">
                  <c:v>Rosso</c:v>
                </c:pt>
                <c:pt idx="3">
                  <c:v>Gialla</c:v>
                </c:pt>
              </c:strCache>
            </c:strRef>
          </c:cat>
          <c:val>
            <c:numRef>
              <c:f>betalainas!$C$24:$F$24</c:f>
              <c:numCache>
                <c:formatCode>0.0</c:formatCode>
                <c:ptCount val="4"/>
                <c:pt idx="0">
                  <c:v>0.843333</c:v>
                </c:pt>
                <c:pt idx="1">
                  <c:v>0.36544399999999999</c:v>
                </c:pt>
                <c:pt idx="2">
                  <c:v>3.1398890000000002</c:v>
                </c:pt>
                <c:pt idx="3">
                  <c:v>1.057833</c:v>
                </c:pt>
              </c:numCache>
            </c:numRef>
          </c:val>
          <c:extLst xmlns:c16r2="http://schemas.microsoft.com/office/drawing/2015/06/chart">
            <c:ext xmlns:c16="http://schemas.microsoft.com/office/drawing/2014/chart" uri="{C3380CC4-5D6E-409C-BE32-E72D297353CC}">
              <c16:uniqueId val="{00000004-A84C-482E-91C7-9BA2DBA26286}"/>
            </c:ext>
          </c:extLst>
        </c:ser>
        <c:ser>
          <c:idx val="1"/>
          <c:order val="1"/>
          <c:tx>
            <c:strRef>
              <c:f>betalainas!$B$25</c:f>
              <c:strCache>
                <c:ptCount val="1"/>
                <c:pt idx="0">
                  <c:v>polpa</c:v>
                </c:pt>
              </c:strCache>
            </c:strRef>
          </c:tx>
          <c:spPr>
            <a:solidFill>
              <a:schemeClr val="accent2"/>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84C-482E-91C7-9BA2DBA26286}"/>
                </c:ext>
              </c:extLst>
            </c:dLbl>
            <c:dLbl>
              <c:idx val="1"/>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84C-482E-91C7-9BA2DBA26286}"/>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84C-482E-91C7-9BA2DBA26286}"/>
                </c:ext>
              </c:extLst>
            </c:dLbl>
            <c:dLbl>
              <c:idx val="3"/>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A84C-482E-91C7-9BA2DBA2628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betalainas!$C$23:$F$23</c:f>
              <c:strCache>
                <c:ptCount val="4"/>
                <c:pt idx="0">
                  <c:v>laranja</c:v>
                </c:pt>
                <c:pt idx="1">
                  <c:v>verde</c:v>
                </c:pt>
                <c:pt idx="2">
                  <c:v>Rosso</c:v>
                </c:pt>
                <c:pt idx="3">
                  <c:v>Gialla</c:v>
                </c:pt>
              </c:strCache>
            </c:strRef>
          </c:cat>
          <c:val>
            <c:numRef>
              <c:f>betalainas!$C$25:$F$25</c:f>
              <c:numCache>
                <c:formatCode>0.0</c:formatCode>
                <c:ptCount val="4"/>
                <c:pt idx="0">
                  <c:v>0.4345</c:v>
                </c:pt>
                <c:pt idx="1">
                  <c:v>0.246278</c:v>
                </c:pt>
                <c:pt idx="2">
                  <c:v>2.0276670000000001</c:v>
                </c:pt>
                <c:pt idx="3">
                  <c:v>0.622722</c:v>
                </c:pt>
              </c:numCache>
            </c:numRef>
          </c:val>
          <c:extLst xmlns:c16r2="http://schemas.microsoft.com/office/drawing/2015/06/chart">
            <c:ext xmlns:c16="http://schemas.microsoft.com/office/drawing/2014/chart" uri="{C3380CC4-5D6E-409C-BE32-E72D297353CC}">
              <c16:uniqueId val="{00000009-A84C-482E-91C7-9BA2DBA26286}"/>
            </c:ext>
          </c:extLst>
        </c:ser>
        <c:dLbls>
          <c:dLblPos val="outEnd"/>
          <c:showLegendKey val="0"/>
          <c:showVal val="1"/>
          <c:showCatName val="0"/>
          <c:showSerName val="0"/>
          <c:showPercent val="0"/>
          <c:showBubbleSize val="0"/>
        </c:dLbls>
        <c:gapWidth val="150"/>
        <c:axId val="135096192"/>
        <c:axId val="135097728"/>
      </c:barChart>
      <c:catAx>
        <c:axId val="13509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097728"/>
        <c:crosses val="autoZero"/>
        <c:auto val="1"/>
        <c:lblAlgn val="ctr"/>
        <c:lblOffset val="100"/>
        <c:noMultiLvlLbl val="0"/>
      </c:catAx>
      <c:valAx>
        <c:axId val="13509772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 Betacianina (mg / g peso</a:t>
                </a:r>
                <a:r>
                  <a:rPr lang="pt-PT" baseline="0"/>
                  <a:t> seco)</a:t>
                </a:r>
                <a:endParaRPr lang="pt-PT"/>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0961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userShapes r:id="rId3"/>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456714785651794"/>
          <c:y val="0.17171296296296298"/>
          <c:w val="0.7196922572178478"/>
          <c:h val="0.62271617089530473"/>
        </c:manualLayout>
      </c:layout>
      <c:barChart>
        <c:barDir val="col"/>
        <c:grouping val="clustered"/>
        <c:varyColors val="0"/>
        <c:ser>
          <c:idx val="0"/>
          <c:order val="0"/>
          <c:tx>
            <c:strRef>
              <c:f>betalainas!$P$23</c:f>
              <c:strCache>
                <c:ptCount val="1"/>
                <c:pt idx="0">
                  <c:v>casca</c:v>
                </c:pt>
              </c:strCache>
            </c:strRef>
          </c:tx>
          <c:spPr>
            <a:solidFill>
              <a:schemeClr val="accent1"/>
            </a:solidFill>
            <a:ln>
              <a:noFill/>
            </a:ln>
            <a:effectLst/>
          </c:spPr>
          <c:invertIfNegative val="0"/>
          <c:dLbls>
            <c:dLbl>
              <c:idx val="0"/>
              <c:layout>
                <c:manualLayout>
                  <c:x val="2.7777777777777776E-2"/>
                  <c:y val="-1.3888888888888888E-2"/>
                </c:manualLayout>
              </c:layout>
              <c:tx>
                <c:rich>
                  <a:bodyPr/>
                  <a:lstStyle/>
                  <a:p>
                    <a:r>
                      <a:rPr lang="en-US"/>
                      <a:t>A ***</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4BA-490D-B7C4-54BB0FE8861E}"/>
                </c:ext>
              </c:extLst>
            </c:dLbl>
            <c:dLbl>
              <c:idx val="1"/>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4BA-490D-B7C4-54BB0FE8861E}"/>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4BA-490D-B7C4-54BB0FE8861E}"/>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4BA-490D-B7C4-54BB0FE8861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betalainas!$Q$22:$T$22</c:f>
              <c:strCache>
                <c:ptCount val="4"/>
                <c:pt idx="0">
                  <c:v>laranja</c:v>
                </c:pt>
                <c:pt idx="1">
                  <c:v>verde</c:v>
                </c:pt>
                <c:pt idx="2">
                  <c:v>Rosso</c:v>
                </c:pt>
                <c:pt idx="3">
                  <c:v>Gialla</c:v>
                </c:pt>
              </c:strCache>
            </c:strRef>
          </c:cat>
          <c:val>
            <c:numRef>
              <c:f>betalainas!$Q$23:$T$23</c:f>
              <c:numCache>
                <c:formatCode>0.0</c:formatCode>
                <c:ptCount val="4"/>
                <c:pt idx="0">
                  <c:v>1.9074610000000001</c:v>
                </c:pt>
                <c:pt idx="1">
                  <c:v>0.29559400000000002</c:v>
                </c:pt>
                <c:pt idx="2">
                  <c:v>1.7162440000000001</c:v>
                </c:pt>
                <c:pt idx="3">
                  <c:v>1.871956</c:v>
                </c:pt>
              </c:numCache>
            </c:numRef>
          </c:val>
          <c:extLst xmlns:c16r2="http://schemas.microsoft.com/office/drawing/2015/06/chart">
            <c:ext xmlns:c16="http://schemas.microsoft.com/office/drawing/2014/chart" uri="{C3380CC4-5D6E-409C-BE32-E72D297353CC}">
              <c16:uniqueId val="{00000004-94BA-490D-B7C4-54BB0FE8861E}"/>
            </c:ext>
          </c:extLst>
        </c:ser>
        <c:ser>
          <c:idx val="1"/>
          <c:order val="1"/>
          <c:tx>
            <c:strRef>
              <c:f>betalainas!$P$24</c:f>
              <c:strCache>
                <c:ptCount val="1"/>
                <c:pt idx="0">
                  <c:v>polpa</c:v>
                </c:pt>
              </c:strCache>
            </c:strRef>
          </c:tx>
          <c:spPr>
            <a:solidFill>
              <a:schemeClr val="accent2"/>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4BA-490D-B7C4-54BB0FE8861E}"/>
                </c:ext>
              </c:extLst>
            </c:dLbl>
            <c:dLbl>
              <c:idx val="1"/>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4BA-490D-B7C4-54BB0FE8861E}"/>
                </c:ext>
              </c:extLst>
            </c:dLbl>
            <c:dLbl>
              <c:idx val="2"/>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94BA-490D-B7C4-54BB0FE8861E}"/>
                </c:ext>
              </c:extLst>
            </c:dLbl>
            <c:dLbl>
              <c:idx val="3"/>
              <c:layout>
                <c:manualLayout>
                  <c:x val="-2.2176022176022176E-2"/>
                  <c:y val="0"/>
                </c:manualLayout>
              </c:layout>
              <c:tx>
                <c:rich>
                  <a:bodyPr/>
                  <a:lstStyle/>
                  <a:p>
                    <a:r>
                      <a:rPr lang="en-US"/>
                      <a:t>***   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94BA-490D-B7C4-54BB0FE8861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betalainas!$Q$22:$T$22</c:f>
              <c:strCache>
                <c:ptCount val="4"/>
                <c:pt idx="0">
                  <c:v>laranja</c:v>
                </c:pt>
                <c:pt idx="1">
                  <c:v>verde</c:v>
                </c:pt>
                <c:pt idx="2">
                  <c:v>Rosso</c:v>
                </c:pt>
                <c:pt idx="3">
                  <c:v>Gialla</c:v>
                </c:pt>
              </c:strCache>
            </c:strRef>
          </c:cat>
          <c:val>
            <c:numRef>
              <c:f>betalainas!$Q$24:$T$24</c:f>
              <c:numCache>
                <c:formatCode>General</c:formatCode>
                <c:ptCount val="4"/>
                <c:pt idx="0">
                  <c:v>1.28975</c:v>
                </c:pt>
                <c:pt idx="1">
                  <c:v>0.20704400000000001</c:v>
                </c:pt>
                <c:pt idx="2">
                  <c:v>1.5862000000000001</c:v>
                </c:pt>
                <c:pt idx="3">
                  <c:v>2.381011</c:v>
                </c:pt>
              </c:numCache>
            </c:numRef>
          </c:val>
          <c:extLst xmlns:c16r2="http://schemas.microsoft.com/office/drawing/2015/06/chart">
            <c:ext xmlns:c16="http://schemas.microsoft.com/office/drawing/2014/chart" uri="{C3380CC4-5D6E-409C-BE32-E72D297353CC}">
              <c16:uniqueId val="{00000009-94BA-490D-B7C4-54BB0FE8861E}"/>
            </c:ext>
          </c:extLst>
        </c:ser>
        <c:dLbls>
          <c:showLegendKey val="0"/>
          <c:showVal val="0"/>
          <c:showCatName val="0"/>
          <c:showSerName val="0"/>
          <c:showPercent val="0"/>
          <c:showBubbleSize val="0"/>
        </c:dLbls>
        <c:gapWidth val="150"/>
        <c:axId val="135417216"/>
        <c:axId val="135447680"/>
      </c:barChart>
      <c:catAx>
        <c:axId val="135417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447680"/>
        <c:crosses val="autoZero"/>
        <c:auto val="1"/>
        <c:lblAlgn val="ctr"/>
        <c:lblOffset val="100"/>
        <c:noMultiLvlLbl val="0"/>
      </c:catAx>
      <c:valAx>
        <c:axId val="13544768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Betaxantinas</a:t>
                </a:r>
                <a:r>
                  <a:rPr lang="pt-PT" baseline="0"/>
                  <a:t> (</a:t>
                </a:r>
                <a:r>
                  <a:rPr lang="pt-PT"/>
                  <a:t>mg / g peso seco)</a:t>
                </a:r>
              </a:p>
            </c:rich>
          </c:tx>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41721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Plan1!$B$34</c:f>
              <c:strCache>
                <c:ptCount val="1"/>
                <c:pt idx="0">
                  <c:v>casca</c:v>
                </c:pt>
              </c:strCache>
            </c:strRef>
          </c:tx>
          <c:spPr>
            <a:solidFill>
              <a:schemeClr val="accent1"/>
            </a:solidFill>
            <a:ln>
              <a:noFill/>
            </a:ln>
            <a:effectLst/>
          </c:spPr>
          <c:invertIfNegative val="0"/>
          <c:dLbls>
            <c:dLbl>
              <c:idx val="0"/>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8D6-4D8B-982F-6876FCA0888A}"/>
                </c:ext>
              </c:extLst>
            </c:dLbl>
            <c:dLbl>
              <c:idx val="1"/>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8D6-4D8B-982F-6876FCA0888A}"/>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8D6-4D8B-982F-6876FCA0888A}"/>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8D6-4D8B-982F-6876FCA0888A}"/>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Plan1!$C$33:$F$33</c:f>
              <c:strCache>
                <c:ptCount val="4"/>
                <c:pt idx="0">
                  <c:v>Laranja</c:v>
                </c:pt>
                <c:pt idx="1">
                  <c:v>verde</c:v>
                </c:pt>
                <c:pt idx="2">
                  <c:v>Rosso</c:v>
                </c:pt>
                <c:pt idx="3">
                  <c:v>Gialla</c:v>
                </c:pt>
              </c:strCache>
            </c:strRef>
          </c:cat>
          <c:val>
            <c:numRef>
              <c:f>Plan1!$C$34:$F$34</c:f>
              <c:numCache>
                <c:formatCode>General</c:formatCode>
                <c:ptCount val="4"/>
                <c:pt idx="0">
                  <c:v>10.292249999999999</c:v>
                </c:pt>
                <c:pt idx="1">
                  <c:v>4.5663980000000004</c:v>
                </c:pt>
                <c:pt idx="2">
                  <c:v>14.675031000000001</c:v>
                </c:pt>
                <c:pt idx="3">
                  <c:v>18.578371000000001</c:v>
                </c:pt>
              </c:numCache>
            </c:numRef>
          </c:val>
          <c:extLst xmlns:c16r2="http://schemas.microsoft.com/office/drawing/2015/06/chart">
            <c:ext xmlns:c16="http://schemas.microsoft.com/office/drawing/2014/chart" uri="{C3380CC4-5D6E-409C-BE32-E72D297353CC}">
              <c16:uniqueId val="{00000004-D8D6-4D8B-982F-6876FCA0888A}"/>
            </c:ext>
          </c:extLst>
        </c:ser>
        <c:ser>
          <c:idx val="1"/>
          <c:order val="1"/>
          <c:tx>
            <c:strRef>
              <c:f>Plan1!$B$35</c:f>
              <c:strCache>
                <c:ptCount val="1"/>
                <c:pt idx="0">
                  <c:v>polpa</c:v>
                </c:pt>
              </c:strCache>
            </c:strRef>
          </c:tx>
          <c:spPr>
            <a:solidFill>
              <a:schemeClr val="accent2"/>
            </a:solidFill>
            <a:ln>
              <a:noFill/>
            </a:ln>
            <a:effectLst/>
          </c:spPr>
          <c:invertIfNegative val="0"/>
          <c:dLbls>
            <c:dLbl>
              <c:idx val="0"/>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a</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8D6-4D8B-982F-6876FCA0888A}"/>
                </c:ext>
              </c:extLst>
            </c:dLbl>
            <c:dLbl>
              <c:idx val="1"/>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b</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8D6-4D8B-982F-6876FCA0888A}"/>
                </c:ext>
              </c:extLst>
            </c:dLbl>
            <c:dLbl>
              <c:idx val="2"/>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a</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8D6-4D8B-982F-6876FCA0888A}"/>
                </c:ext>
              </c:extLst>
            </c:dLbl>
            <c:dLbl>
              <c:idx val="3"/>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r>
                      <a:rPr lang="en-US"/>
                      <a:t>a</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8D6-4D8B-982F-6876FCA0888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Plan1!$C$33:$F$33</c:f>
              <c:strCache>
                <c:ptCount val="4"/>
                <c:pt idx="0">
                  <c:v>Laranja</c:v>
                </c:pt>
                <c:pt idx="1">
                  <c:v>verde</c:v>
                </c:pt>
                <c:pt idx="2">
                  <c:v>Rosso</c:v>
                </c:pt>
                <c:pt idx="3">
                  <c:v>Gialla</c:v>
                </c:pt>
              </c:strCache>
            </c:strRef>
          </c:cat>
          <c:val>
            <c:numRef>
              <c:f>Plan1!$C$35:$F$35</c:f>
              <c:numCache>
                <c:formatCode>General</c:formatCode>
                <c:ptCount val="4"/>
                <c:pt idx="0">
                  <c:v>15.487053</c:v>
                </c:pt>
                <c:pt idx="1">
                  <c:v>0.72686300000000004</c:v>
                </c:pt>
                <c:pt idx="2">
                  <c:v>18.193935</c:v>
                </c:pt>
                <c:pt idx="3">
                  <c:v>21.88006</c:v>
                </c:pt>
              </c:numCache>
            </c:numRef>
          </c:val>
          <c:extLst xmlns:c16r2="http://schemas.microsoft.com/office/drawing/2015/06/chart">
            <c:ext xmlns:c16="http://schemas.microsoft.com/office/drawing/2014/chart" uri="{C3380CC4-5D6E-409C-BE32-E72D297353CC}">
              <c16:uniqueId val="{00000009-D8D6-4D8B-982F-6876FCA0888A}"/>
            </c:ext>
          </c:extLst>
        </c:ser>
        <c:dLbls>
          <c:showLegendKey val="0"/>
          <c:showVal val="0"/>
          <c:showCatName val="0"/>
          <c:showSerName val="0"/>
          <c:showPercent val="0"/>
          <c:showBubbleSize val="0"/>
        </c:dLbls>
        <c:gapWidth val="150"/>
        <c:axId val="135500928"/>
        <c:axId val="135502464"/>
      </c:barChart>
      <c:catAx>
        <c:axId val="135500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502464"/>
        <c:crosses val="autoZero"/>
        <c:auto val="1"/>
        <c:lblAlgn val="ctr"/>
        <c:lblOffset val="100"/>
        <c:noMultiLvlLbl val="0"/>
      </c:catAx>
      <c:valAx>
        <c:axId val="135502464"/>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Taninos Condensados (mg</a:t>
                </a:r>
                <a:r>
                  <a:rPr lang="pt-PT" baseline="0"/>
                  <a:t>  CE / g peso fresco)</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5009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userShapes r:id="rId2"/>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Plan2!$S$15</c:f>
              <c:strCache>
                <c:ptCount val="1"/>
                <c:pt idx="0">
                  <c:v>Málico</c:v>
                </c:pt>
              </c:strCache>
            </c:strRef>
          </c:tx>
          <c:spPr>
            <a:solidFill>
              <a:schemeClr val="accent1"/>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Plan2!$T$15:$AA$15</c:f>
              <c:numCache>
                <c:formatCode>General</c:formatCode>
                <c:ptCount val="8"/>
                <c:pt idx="0">
                  <c:v>47.591857031785345</c:v>
                </c:pt>
                <c:pt idx="1">
                  <c:v>14.95734</c:v>
                </c:pt>
                <c:pt idx="2">
                  <c:v>8.4609241068442209</c:v>
                </c:pt>
                <c:pt idx="3">
                  <c:v>0.67368700000000004</c:v>
                </c:pt>
                <c:pt idx="6">
                  <c:v>1.3797608203335667</c:v>
                </c:pt>
                <c:pt idx="7">
                  <c:v>0.8429970279557929</c:v>
                </c:pt>
              </c:numCache>
            </c:numRef>
          </c:val>
          <c:extLst xmlns:c16r2="http://schemas.microsoft.com/office/drawing/2015/06/chart">
            <c:ext xmlns:c16="http://schemas.microsoft.com/office/drawing/2014/chart" uri="{C3380CC4-5D6E-409C-BE32-E72D297353CC}">
              <c16:uniqueId val="{00000000-944E-404B-A73F-2D9E95AFED38}"/>
            </c:ext>
          </c:extLst>
        </c:ser>
        <c:ser>
          <c:idx val="1"/>
          <c:order val="1"/>
          <c:tx>
            <c:strRef>
              <c:f>Plan2!$S$16</c:f>
              <c:strCache>
                <c:ptCount val="1"/>
                <c:pt idx="0">
                  <c:v>Tartárico</c:v>
                </c:pt>
              </c:strCache>
            </c:strRef>
          </c:tx>
          <c:spPr>
            <a:solidFill>
              <a:schemeClr val="accent2"/>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Plan2!$T$16:$AA$16</c:f>
              <c:numCache>
                <c:formatCode>General</c:formatCode>
                <c:ptCount val="8"/>
                <c:pt idx="3">
                  <c:v>1.5325899999999999</c:v>
                </c:pt>
                <c:pt idx="4">
                  <c:v>2.1020427621860311</c:v>
                </c:pt>
                <c:pt idx="5">
                  <c:v>1.4179969359333835</c:v>
                </c:pt>
              </c:numCache>
            </c:numRef>
          </c:val>
          <c:extLst xmlns:c16r2="http://schemas.microsoft.com/office/drawing/2015/06/chart">
            <c:ext xmlns:c16="http://schemas.microsoft.com/office/drawing/2014/chart" uri="{C3380CC4-5D6E-409C-BE32-E72D297353CC}">
              <c16:uniqueId val="{00000001-944E-404B-A73F-2D9E95AFED38}"/>
            </c:ext>
          </c:extLst>
        </c:ser>
        <c:ser>
          <c:idx val="2"/>
          <c:order val="2"/>
          <c:tx>
            <c:strRef>
              <c:f>Plan2!$S$17</c:f>
              <c:strCache>
                <c:ptCount val="1"/>
                <c:pt idx="0">
                  <c:v>glutárico</c:v>
                </c:pt>
              </c:strCache>
            </c:strRef>
          </c:tx>
          <c:spPr>
            <a:solidFill>
              <a:schemeClr val="accent3"/>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Plan2!$T$17:$AA$17</c:f>
              <c:numCache>
                <c:formatCode>General</c:formatCode>
                <c:ptCount val="8"/>
                <c:pt idx="0">
                  <c:v>0.45912799999999998</c:v>
                </c:pt>
                <c:pt idx="1">
                  <c:v>0.14108000000000001</c:v>
                </c:pt>
                <c:pt idx="2">
                  <c:v>0.195858</c:v>
                </c:pt>
              </c:numCache>
            </c:numRef>
          </c:val>
          <c:extLst xmlns:c16r2="http://schemas.microsoft.com/office/drawing/2015/06/chart">
            <c:ext xmlns:c16="http://schemas.microsoft.com/office/drawing/2014/chart" uri="{C3380CC4-5D6E-409C-BE32-E72D297353CC}">
              <c16:uniqueId val="{00000002-944E-404B-A73F-2D9E95AFED38}"/>
            </c:ext>
          </c:extLst>
        </c:ser>
        <c:ser>
          <c:idx val="3"/>
          <c:order val="3"/>
          <c:tx>
            <c:strRef>
              <c:f>Plan2!$S$18</c:f>
              <c:strCache>
                <c:ptCount val="1"/>
                <c:pt idx="0">
                  <c:v>piruvico</c:v>
                </c:pt>
              </c:strCache>
            </c:strRef>
          </c:tx>
          <c:spPr>
            <a:solidFill>
              <a:schemeClr val="accent4"/>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Plan2!$T$18:$AA$18</c:f>
              <c:numCache>
                <c:formatCode>General</c:formatCode>
                <c:ptCount val="8"/>
                <c:pt idx="0">
                  <c:v>2.4931369999999999</c:v>
                </c:pt>
                <c:pt idx="1">
                  <c:v>1.7831950000000001</c:v>
                </c:pt>
                <c:pt idx="4">
                  <c:v>0.19786934797358446</c:v>
                </c:pt>
              </c:numCache>
            </c:numRef>
          </c:val>
          <c:extLst xmlns:c16r2="http://schemas.microsoft.com/office/drawing/2015/06/chart">
            <c:ext xmlns:c16="http://schemas.microsoft.com/office/drawing/2014/chart" uri="{C3380CC4-5D6E-409C-BE32-E72D297353CC}">
              <c16:uniqueId val="{00000003-944E-404B-A73F-2D9E95AFED38}"/>
            </c:ext>
          </c:extLst>
        </c:ser>
        <c:ser>
          <c:idx val="4"/>
          <c:order val="4"/>
          <c:tx>
            <c:strRef>
              <c:f>Plan2!$S$19</c:f>
              <c:strCache>
                <c:ptCount val="1"/>
                <c:pt idx="0">
                  <c:v>propionico</c:v>
                </c:pt>
              </c:strCache>
            </c:strRef>
          </c:tx>
          <c:spPr>
            <a:solidFill>
              <a:schemeClr val="accent5"/>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Plan2!$T$19:$AA$19</c:f>
              <c:numCache>
                <c:formatCode>General</c:formatCode>
                <c:ptCount val="8"/>
                <c:pt idx="4">
                  <c:v>3.0454835909788911</c:v>
                </c:pt>
                <c:pt idx="5">
                  <c:v>109.93878425028554</c:v>
                </c:pt>
                <c:pt idx="6">
                  <c:v>2.2915801315050723</c:v>
                </c:pt>
              </c:numCache>
            </c:numRef>
          </c:val>
          <c:extLst xmlns:c16r2="http://schemas.microsoft.com/office/drawing/2015/06/chart">
            <c:ext xmlns:c16="http://schemas.microsoft.com/office/drawing/2014/chart" uri="{C3380CC4-5D6E-409C-BE32-E72D297353CC}">
              <c16:uniqueId val="{00000004-944E-404B-A73F-2D9E95AFED38}"/>
            </c:ext>
          </c:extLst>
        </c:ser>
        <c:ser>
          <c:idx val="5"/>
          <c:order val="5"/>
          <c:tx>
            <c:strRef>
              <c:f>Plan2!$S$20</c:f>
              <c:strCache>
                <c:ptCount val="1"/>
                <c:pt idx="0">
                  <c:v>sucinico</c:v>
                </c:pt>
              </c:strCache>
            </c:strRef>
          </c:tx>
          <c:spPr>
            <a:solidFill>
              <a:schemeClr val="accent6"/>
            </a:solidFill>
            <a:ln>
              <a:noFill/>
            </a:ln>
            <a:effectLst/>
          </c:spPr>
          <c:invertIfNegative val="0"/>
          <c:cat>
            <c:multiLvlStrRef>
              <c:f>Plan2!$T$13:$AA$14</c:f>
              <c:multiLvlStrCache>
                <c:ptCount val="8"/>
                <c:lvl>
                  <c:pt idx="0">
                    <c:v>Casca</c:v>
                  </c:pt>
                  <c:pt idx="1">
                    <c:v>polpa</c:v>
                  </c:pt>
                  <c:pt idx="2">
                    <c:v>casca</c:v>
                  </c:pt>
                  <c:pt idx="3">
                    <c:v>polpa</c:v>
                  </c:pt>
                  <c:pt idx="4">
                    <c:v>casca</c:v>
                  </c:pt>
                  <c:pt idx="5">
                    <c:v>polpa</c:v>
                  </c:pt>
                  <c:pt idx="6">
                    <c:v>casca </c:v>
                  </c:pt>
                  <c:pt idx="7">
                    <c:v>polpa</c:v>
                  </c:pt>
                </c:lvl>
                <c:lvl>
                  <c:pt idx="0">
                    <c:v>Laranja</c:v>
                  </c:pt>
                  <c:pt idx="2">
                    <c:v>verde</c:v>
                  </c:pt>
                  <c:pt idx="4">
                    <c:v>Rosso</c:v>
                  </c:pt>
                  <c:pt idx="6">
                    <c:v>Gialla</c:v>
                  </c:pt>
                </c:lvl>
              </c:multiLvlStrCache>
            </c:multiLvlStrRef>
          </c:cat>
          <c:val>
            <c:numRef>
              <c:f>Plan2!$T$20:$AA$20</c:f>
              <c:numCache>
                <c:formatCode>General</c:formatCode>
                <c:ptCount val="8"/>
                <c:pt idx="2">
                  <c:v>3.8406000000000003E-2</c:v>
                </c:pt>
                <c:pt idx="5">
                  <c:v>4.8796885238082593E-2</c:v>
                </c:pt>
                <c:pt idx="6">
                  <c:v>0.13283222018457727</c:v>
                </c:pt>
                <c:pt idx="7">
                  <c:v>0.26454449503966776</c:v>
                </c:pt>
              </c:numCache>
            </c:numRef>
          </c:val>
          <c:extLst xmlns:c16r2="http://schemas.microsoft.com/office/drawing/2015/06/chart">
            <c:ext xmlns:c16="http://schemas.microsoft.com/office/drawing/2014/chart" uri="{C3380CC4-5D6E-409C-BE32-E72D297353CC}">
              <c16:uniqueId val="{00000005-944E-404B-A73F-2D9E95AFED38}"/>
            </c:ext>
          </c:extLst>
        </c:ser>
        <c:dLbls>
          <c:showLegendKey val="0"/>
          <c:showVal val="0"/>
          <c:showCatName val="0"/>
          <c:showSerName val="0"/>
          <c:showPercent val="0"/>
          <c:showBubbleSize val="0"/>
        </c:dLbls>
        <c:gapWidth val="150"/>
        <c:axId val="132795776"/>
        <c:axId val="132801664"/>
      </c:barChart>
      <c:catAx>
        <c:axId val="13279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01664"/>
        <c:crosses val="autoZero"/>
        <c:auto val="1"/>
        <c:lblAlgn val="ctr"/>
        <c:lblOffset val="100"/>
        <c:noMultiLvlLbl val="0"/>
      </c:catAx>
      <c:valAx>
        <c:axId val="132801664"/>
        <c:scaling>
          <c:orientation val="minMax"/>
          <c:max val="1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Concentração de ácidos orgânicos (mg/mL)</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7957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Folha1!$C$19</c:f>
              <c:strCache>
                <c:ptCount val="1"/>
                <c:pt idx="0">
                  <c:v>frutose</c:v>
                </c:pt>
              </c:strCache>
            </c:strRef>
          </c:tx>
          <c:spPr>
            <a:solidFill>
              <a:schemeClr val="accent1"/>
            </a:solidFill>
            <a:ln>
              <a:noFill/>
            </a:ln>
            <a:effectLst/>
          </c:spPr>
          <c:invertIfNegative val="0"/>
          <c:cat>
            <c:multiLvlStrRef>
              <c:f>Folha1!$D$17:$K$18</c:f>
              <c:multiLvlStrCache>
                <c:ptCount val="8"/>
                <c:lvl>
                  <c:pt idx="0">
                    <c:v>casca</c:v>
                  </c:pt>
                  <c:pt idx="1">
                    <c:v>polpa</c:v>
                  </c:pt>
                  <c:pt idx="2">
                    <c:v>casca</c:v>
                  </c:pt>
                  <c:pt idx="3">
                    <c:v>polpa</c:v>
                  </c:pt>
                  <c:pt idx="4">
                    <c:v>casca</c:v>
                  </c:pt>
                  <c:pt idx="5">
                    <c:v>polpa</c:v>
                  </c:pt>
                  <c:pt idx="6">
                    <c:v>casca</c:v>
                  </c:pt>
                  <c:pt idx="7">
                    <c:v>polpa</c:v>
                  </c:pt>
                </c:lvl>
                <c:lvl>
                  <c:pt idx="0">
                    <c:v>laranja</c:v>
                  </c:pt>
                  <c:pt idx="2">
                    <c:v>verde</c:v>
                  </c:pt>
                  <c:pt idx="4">
                    <c:v>Rosso</c:v>
                  </c:pt>
                  <c:pt idx="6">
                    <c:v>Gialla</c:v>
                  </c:pt>
                </c:lvl>
              </c:multiLvlStrCache>
            </c:multiLvlStrRef>
          </c:cat>
          <c:val>
            <c:numRef>
              <c:f>Folha1!$D$19:$K$19</c:f>
              <c:numCache>
                <c:formatCode>General</c:formatCode>
                <c:ptCount val="8"/>
                <c:pt idx="0">
                  <c:v>2.7968900188197465</c:v>
                </c:pt>
                <c:pt idx="1">
                  <c:v>2.0045617549534489</c:v>
                </c:pt>
                <c:pt idx="2">
                  <c:v>2.8900846594863405</c:v>
                </c:pt>
                <c:pt idx="3">
                  <c:v>2.340729423709107</c:v>
                </c:pt>
                <c:pt idx="4">
                  <c:v>2.6437963292769111</c:v>
                </c:pt>
                <c:pt idx="5">
                  <c:v>2.3069183266921169</c:v>
                </c:pt>
                <c:pt idx="6">
                  <c:v>2.9081690416353703</c:v>
                </c:pt>
                <c:pt idx="7">
                  <c:v>2.7161713764484801</c:v>
                </c:pt>
              </c:numCache>
            </c:numRef>
          </c:val>
          <c:extLst xmlns:c16r2="http://schemas.microsoft.com/office/drawing/2015/06/chart">
            <c:ext xmlns:c16="http://schemas.microsoft.com/office/drawing/2014/chart" uri="{C3380CC4-5D6E-409C-BE32-E72D297353CC}">
              <c16:uniqueId val="{00000000-2127-4F5E-84B9-74607AAD66A1}"/>
            </c:ext>
          </c:extLst>
        </c:ser>
        <c:ser>
          <c:idx val="1"/>
          <c:order val="1"/>
          <c:tx>
            <c:strRef>
              <c:f>Folha1!$C$20</c:f>
              <c:strCache>
                <c:ptCount val="1"/>
                <c:pt idx="0">
                  <c:v>glucose</c:v>
                </c:pt>
              </c:strCache>
            </c:strRef>
          </c:tx>
          <c:spPr>
            <a:solidFill>
              <a:schemeClr val="accent2"/>
            </a:solidFill>
            <a:ln>
              <a:noFill/>
            </a:ln>
            <a:effectLst/>
          </c:spPr>
          <c:invertIfNegative val="0"/>
          <c:cat>
            <c:multiLvlStrRef>
              <c:f>Folha1!$D$17:$K$18</c:f>
              <c:multiLvlStrCache>
                <c:ptCount val="8"/>
                <c:lvl>
                  <c:pt idx="0">
                    <c:v>casca</c:v>
                  </c:pt>
                  <c:pt idx="1">
                    <c:v>polpa</c:v>
                  </c:pt>
                  <c:pt idx="2">
                    <c:v>casca</c:v>
                  </c:pt>
                  <c:pt idx="3">
                    <c:v>polpa</c:v>
                  </c:pt>
                  <c:pt idx="4">
                    <c:v>casca</c:v>
                  </c:pt>
                  <c:pt idx="5">
                    <c:v>polpa</c:v>
                  </c:pt>
                  <c:pt idx="6">
                    <c:v>casca</c:v>
                  </c:pt>
                  <c:pt idx="7">
                    <c:v>polpa</c:v>
                  </c:pt>
                </c:lvl>
                <c:lvl>
                  <c:pt idx="0">
                    <c:v>laranja</c:v>
                  </c:pt>
                  <c:pt idx="2">
                    <c:v>verde</c:v>
                  </c:pt>
                  <c:pt idx="4">
                    <c:v>Rosso</c:v>
                  </c:pt>
                  <c:pt idx="6">
                    <c:v>Gialla</c:v>
                  </c:pt>
                </c:lvl>
              </c:multiLvlStrCache>
            </c:multiLvlStrRef>
          </c:cat>
          <c:val>
            <c:numRef>
              <c:f>Folha1!$D$20:$K$20</c:f>
              <c:numCache>
                <c:formatCode>General</c:formatCode>
                <c:ptCount val="8"/>
                <c:pt idx="0">
                  <c:v>32.053340746711498</c:v>
                </c:pt>
                <c:pt idx="1">
                  <c:v>17.69740508046802</c:v>
                </c:pt>
                <c:pt idx="2">
                  <c:v>37.167677196848572</c:v>
                </c:pt>
                <c:pt idx="3">
                  <c:v>27.748619393844525</c:v>
                </c:pt>
                <c:pt idx="4">
                  <c:v>34.417869561814463</c:v>
                </c:pt>
                <c:pt idx="5">
                  <c:v>35.880192287037325</c:v>
                </c:pt>
                <c:pt idx="6">
                  <c:v>38.264265924786741</c:v>
                </c:pt>
                <c:pt idx="7">
                  <c:v>36.70749208601552</c:v>
                </c:pt>
              </c:numCache>
            </c:numRef>
          </c:val>
          <c:extLst xmlns:c16r2="http://schemas.microsoft.com/office/drawing/2015/06/chart">
            <c:ext xmlns:c16="http://schemas.microsoft.com/office/drawing/2014/chart" uri="{C3380CC4-5D6E-409C-BE32-E72D297353CC}">
              <c16:uniqueId val="{00000001-2127-4F5E-84B9-74607AAD66A1}"/>
            </c:ext>
          </c:extLst>
        </c:ser>
        <c:ser>
          <c:idx val="2"/>
          <c:order val="2"/>
          <c:tx>
            <c:strRef>
              <c:f>Folha1!$C$21</c:f>
              <c:strCache>
                <c:ptCount val="1"/>
                <c:pt idx="0">
                  <c:v>sacarose</c:v>
                </c:pt>
              </c:strCache>
            </c:strRef>
          </c:tx>
          <c:spPr>
            <a:solidFill>
              <a:schemeClr val="accent3"/>
            </a:solidFill>
            <a:ln>
              <a:noFill/>
            </a:ln>
            <a:effectLst/>
          </c:spPr>
          <c:invertIfNegative val="0"/>
          <c:cat>
            <c:multiLvlStrRef>
              <c:f>Folha1!$D$17:$K$18</c:f>
              <c:multiLvlStrCache>
                <c:ptCount val="8"/>
                <c:lvl>
                  <c:pt idx="0">
                    <c:v>casca</c:v>
                  </c:pt>
                  <c:pt idx="1">
                    <c:v>polpa</c:v>
                  </c:pt>
                  <c:pt idx="2">
                    <c:v>casca</c:v>
                  </c:pt>
                  <c:pt idx="3">
                    <c:v>polpa</c:v>
                  </c:pt>
                  <c:pt idx="4">
                    <c:v>casca</c:v>
                  </c:pt>
                  <c:pt idx="5">
                    <c:v>polpa</c:v>
                  </c:pt>
                  <c:pt idx="6">
                    <c:v>casca</c:v>
                  </c:pt>
                  <c:pt idx="7">
                    <c:v>polpa</c:v>
                  </c:pt>
                </c:lvl>
                <c:lvl>
                  <c:pt idx="0">
                    <c:v>laranja</c:v>
                  </c:pt>
                  <c:pt idx="2">
                    <c:v>verde</c:v>
                  </c:pt>
                  <c:pt idx="4">
                    <c:v>Rosso</c:v>
                  </c:pt>
                  <c:pt idx="6">
                    <c:v>Gialla</c:v>
                  </c:pt>
                </c:lvl>
              </c:multiLvlStrCache>
            </c:multiLvlStrRef>
          </c:cat>
          <c:val>
            <c:numRef>
              <c:f>Folha1!$D$21:$K$21</c:f>
              <c:numCache>
                <c:formatCode>General</c:formatCode>
                <c:ptCount val="8"/>
                <c:pt idx="0">
                  <c:v>4.9294120000000001</c:v>
                </c:pt>
                <c:pt idx="1">
                  <c:v>2.6844420000000002</c:v>
                </c:pt>
                <c:pt idx="2">
                  <c:v>3.946345</c:v>
                </c:pt>
                <c:pt idx="3">
                  <c:v>2.1157560000000002</c:v>
                </c:pt>
                <c:pt idx="4">
                  <c:v>3.6113900000000001</c:v>
                </c:pt>
                <c:pt idx="5">
                  <c:v>1.6495709999999999</c:v>
                </c:pt>
                <c:pt idx="6">
                  <c:v>4.0197539999999998</c:v>
                </c:pt>
                <c:pt idx="7">
                  <c:v>16.035409999999999</c:v>
                </c:pt>
              </c:numCache>
            </c:numRef>
          </c:val>
          <c:extLst xmlns:c16r2="http://schemas.microsoft.com/office/drawing/2015/06/chart">
            <c:ext xmlns:c16="http://schemas.microsoft.com/office/drawing/2014/chart" uri="{C3380CC4-5D6E-409C-BE32-E72D297353CC}">
              <c16:uniqueId val="{00000002-2127-4F5E-84B9-74607AAD66A1}"/>
            </c:ext>
          </c:extLst>
        </c:ser>
        <c:ser>
          <c:idx val="3"/>
          <c:order val="3"/>
          <c:tx>
            <c:strRef>
              <c:f>Folha1!$C$22</c:f>
              <c:strCache>
                <c:ptCount val="1"/>
              </c:strCache>
            </c:strRef>
          </c:tx>
          <c:spPr>
            <a:solidFill>
              <a:schemeClr val="accent4"/>
            </a:solidFill>
            <a:ln>
              <a:noFill/>
            </a:ln>
            <a:effectLst/>
          </c:spPr>
          <c:invertIfNegative val="0"/>
          <c:cat>
            <c:multiLvlStrRef>
              <c:f>Folha1!$D$17:$K$18</c:f>
              <c:multiLvlStrCache>
                <c:ptCount val="8"/>
                <c:lvl>
                  <c:pt idx="0">
                    <c:v>casca</c:v>
                  </c:pt>
                  <c:pt idx="1">
                    <c:v>polpa</c:v>
                  </c:pt>
                  <c:pt idx="2">
                    <c:v>casca</c:v>
                  </c:pt>
                  <c:pt idx="3">
                    <c:v>polpa</c:v>
                  </c:pt>
                  <c:pt idx="4">
                    <c:v>casca</c:v>
                  </c:pt>
                  <c:pt idx="5">
                    <c:v>polpa</c:v>
                  </c:pt>
                  <c:pt idx="6">
                    <c:v>casca</c:v>
                  </c:pt>
                  <c:pt idx="7">
                    <c:v>polpa</c:v>
                  </c:pt>
                </c:lvl>
                <c:lvl>
                  <c:pt idx="0">
                    <c:v>laranja</c:v>
                  </c:pt>
                  <c:pt idx="2">
                    <c:v>verde</c:v>
                  </c:pt>
                  <c:pt idx="4">
                    <c:v>Rosso</c:v>
                  </c:pt>
                  <c:pt idx="6">
                    <c:v>Gialla</c:v>
                  </c:pt>
                </c:lvl>
              </c:multiLvlStrCache>
            </c:multiLvlStrRef>
          </c:cat>
          <c:val>
            <c:numRef>
              <c:f>Folha1!$D$22:$K$22</c:f>
              <c:numCache>
                <c:formatCode>General</c:formatCode>
                <c:ptCount val="8"/>
              </c:numCache>
            </c:numRef>
          </c:val>
          <c:extLst xmlns:c16r2="http://schemas.microsoft.com/office/drawing/2015/06/chart">
            <c:ext xmlns:c16="http://schemas.microsoft.com/office/drawing/2014/chart" uri="{C3380CC4-5D6E-409C-BE32-E72D297353CC}">
              <c16:uniqueId val="{00000003-2127-4F5E-84B9-74607AAD66A1}"/>
            </c:ext>
          </c:extLst>
        </c:ser>
        <c:dLbls>
          <c:showLegendKey val="0"/>
          <c:showVal val="0"/>
          <c:showCatName val="0"/>
          <c:showSerName val="0"/>
          <c:showPercent val="0"/>
          <c:showBubbleSize val="0"/>
        </c:dLbls>
        <c:gapWidth val="150"/>
        <c:axId val="132830336"/>
        <c:axId val="132831872"/>
      </c:barChart>
      <c:catAx>
        <c:axId val="13283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31872"/>
        <c:crosses val="autoZero"/>
        <c:auto val="1"/>
        <c:lblAlgn val="ctr"/>
        <c:lblOffset val="100"/>
        <c:noMultiLvlLbl val="0"/>
      </c:catAx>
      <c:valAx>
        <c:axId val="13283187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Açucares (mg / mL)</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30336"/>
        <c:crosses val="autoZero"/>
        <c:crossBetween val="between"/>
      </c:valAx>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Plan1!$AA$4</c:f>
              <c:strCache>
                <c:ptCount val="1"/>
                <c:pt idx="0">
                  <c:v>casca</c:v>
                </c:pt>
              </c:strCache>
            </c:strRef>
          </c:tx>
          <c:spPr>
            <a:solidFill>
              <a:schemeClr val="accent1"/>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453-41C6-ADCA-94BE6B29098E}"/>
                </c:ext>
              </c:extLst>
            </c:dLbl>
            <c:dLbl>
              <c:idx val="1"/>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453-41C6-ADCA-94BE6B29098E}"/>
                </c:ext>
              </c:extLst>
            </c:dLbl>
            <c:dLbl>
              <c:idx val="2"/>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453-41C6-ADCA-94BE6B29098E}"/>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453-41C6-ADCA-94BE6B29098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Plan1!$AB$3:$AE$3</c:f>
              <c:strCache>
                <c:ptCount val="4"/>
                <c:pt idx="0">
                  <c:v>laranja</c:v>
                </c:pt>
                <c:pt idx="1">
                  <c:v>verde</c:v>
                </c:pt>
                <c:pt idx="2">
                  <c:v>Rosso</c:v>
                </c:pt>
                <c:pt idx="3">
                  <c:v>Gialla</c:v>
                </c:pt>
              </c:strCache>
            </c:strRef>
          </c:cat>
          <c:val>
            <c:numRef>
              <c:f>Plan1!$AB$4:$AE$4</c:f>
              <c:numCache>
                <c:formatCode>General</c:formatCode>
                <c:ptCount val="4"/>
                <c:pt idx="0">
                  <c:v>20.505199999999999</c:v>
                </c:pt>
                <c:pt idx="1">
                  <c:v>2.6848000000000001</c:v>
                </c:pt>
                <c:pt idx="2">
                  <c:v>28.934799999999999</c:v>
                </c:pt>
                <c:pt idx="3">
                  <c:v>30.430530000000001</c:v>
                </c:pt>
              </c:numCache>
            </c:numRef>
          </c:val>
          <c:extLst xmlns:c16r2="http://schemas.microsoft.com/office/drawing/2015/06/chart">
            <c:ext xmlns:c16="http://schemas.microsoft.com/office/drawing/2014/chart" uri="{C3380CC4-5D6E-409C-BE32-E72D297353CC}">
              <c16:uniqueId val="{00000004-8453-41C6-ADCA-94BE6B29098E}"/>
            </c:ext>
          </c:extLst>
        </c:ser>
        <c:ser>
          <c:idx val="1"/>
          <c:order val="1"/>
          <c:tx>
            <c:strRef>
              <c:f>Plan1!$AA$5</c:f>
              <c:strCache>
                <c:ptCount val="1"/>
                <c:pt idx="0">
                  <c:v>polpa</c:v>
                </c:pt>
              </c:strCache>
            </c:strRef>
          </c:tx>
          <c:spPr>
            <a:solidFill>
              <a:schemeClr val="accent2"/>
            </a:solidFill>
            <a:ln>
              <a:noFill/>
            </a:ln>
            <a:effectLst/>
          </c:spPr>
          <c:invertIfNegative val="0"/>
          <c:dLbls>
            <c:dLbl>
              <c:idx val="0"/>
              <c:layout>
                <c:manualLayout>
                  <c:x val="0"/>
                  <c:y val="1.3888888888888846E-2"/>
                </c:manualLayout>
              </c:layout>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453-41C6-ADCA-94BE6B29098E}"/>
                </c:ext>
              </c:extLst>
            </c:dLbl>
            <c:dLbl>
              <c:idx val="1"/>
              <c:layout>
                <c:manualLayout>
                  <c:x val="2.7775590551180592E-3"/>
                  <c:y val="2.3148148148148168E-2"/>
                </c:manualLayout>
              </c:layout>
              <c:tx>
                <c:rich>
                  <a:bodyPr/>
                  <a:lstStyle/>
                  <a:p>
                    <a:r>
                      <a:rPr lang="en-US"/>
                      <a:t>a </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453-41C6-ADCA-94BE6B29098E}"/>
                </c:ext>
              </c:extLst>
            </c:dLbl>
            <c:dLbl>
              <c:idx val="2"/>
              <c:layout>
                <c:manualLayout>
                  <c:x val="0"/>
                  <c:y val="2.3148148148148147E-2"/>
                </c:manualLayout>
              </c:layout>
              <c:tx>
                <c:rich>
                  <a:bodyPr/>
                  <a:lstStyle/>
                  <a:p>
                    <a:r>
                      <a:rPr lang="en-US"/>
                      <a:t>a </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453-41C6-ADCA-94BE6B29098E}"/>
                </c:ext>
              </c:extLst>
            </c:dLbl>
            <c:dLbl>
              <c:idx val="3"/>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453-41C6-ADCA-94BE6B29098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Plan1!$AB$3:$AE$3</c:f>
              <c:strCache>
                <c:ptCount val="4"/>
                <c:pt idx="0">
                  <c:v>laranja</c:v>
                </c:pt>
                <c:pt idx="1">
                  <c:v>verde</c:v>
                </c:pt>
                <c:pt idx="2">
                  <c:v>Rosso</c:v>
                </c:pt>
                <c:pt idx="3">
                  <c:v>Gialla</c:v>
                </c:pt>
              </c:strCache>
            </c:strRef>
          </c:cat>
          <c:val>
            <c:numRef>
              <c:f>Plan1!$AB$5:$AE$5</c:f>
              <c:numCache>
                <c:formatCode>General</c:formatCode>
                <c:ptCount val="4"/>
                <c:pt idx="0">
                  <c:v>35.696399999999997</c:v>
                </c:pt>
                <c:pt idx="1">
                  <c:v>55.321469999999998</c:v>
                </c:pt>
                <c:pt idx="2">
                  <c:v>53.2468</c:v>
                </c:pt>
                <c:pt idx="3">
                  <c:v>40.30547</c:v>
                </c:pt>
              </c:numCache>
            </c:numRef>
          </c:val>
          <c:extLst xmlns:c16r2="http://schemas.microsoft.com/office/drawing/2015/06/chart">
            <c:ext xmlns:c16="http://schemas.microsoft.com/office/drawing/2014/chart" uri="{C3380CC4-5D6E-409C-BE32-E72D297353CC}">
              <c16:uniqueId val="{00000009-8453-41C6-ADCA-94BE6B29098E}"/>
            </c:ext>
          </c:extLst>
        </c:ser>
        <c:dLbls>
          <c:showLegendKey val="0"/>
          <c:showVal val="0"/>
          <c:showCatName val="0"/>
          <c:showSerName val="0"/>
          <c:showPercent val="0"/>
          <c:showBubbleSize val="0"/>
        </c:dLbls>
        <c:gapWidth val="150"/>
        <c:axId val="135742976"/>
        <c:axId val="135744512"/>
      </c:barChart>
      <c:catAx>
        <c:axId val="135742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744512"/>
        <c:crosses val="autoZero"/>
        <c:auto val="1"/>
        <c:lblAlgn val="ctr"/>
        <c:lblOffset val="100"/>
        <c:noMultiLvlLbl val="0"/>
      </c:catAx>
      <c:valAx>
        <c:axId val="13574451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TDF</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57429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pt-BR"/>
              <a:t>Reta</a:t>
            </a:r>
            <a:r>
              <a:rPr lang="pt-BR" baseline="0"/>
              <a:t> padrão</a:t>
            </a:r>
            <a:endParaRPr lang="pt-B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1438839150000214"/>
                  <c:y val="0.24964093030037912"/>
                </c:manualLayout>
              </c:layout>
              <c:numFmt formatCode="General" sourceLinked="0"/>
            </c:trendlineLbl>
          </c:trendline>
          <c:xVal>
            <c:numRef>
              <c:f>Plan1!$H$27:$H$31</c:f>
              <c:numCache>
                <c:formatCode>General</c:formatCode>
                <c:ptCount val="5"/>
                <c:pt idx="0">
                  <c:v>25</c:v>
                </c:pt>
                <c:pt idx="1">
                  <c:v>50</c:v>
                </c:pt>
                <c:pt idx="2">
                  <c:v>100</c:v>
                </c:pt>
                <c:pt idx="3">
                  <c:v>200</c:v>
                </c:pt>
                <c:pt idx="4">
                  <c:v>250</c:v>
                </c:pt>
              </c:numCache>
            </c:numRef>
          </c:xVal>
          <c:yVal>
            <c:numRef>
              <c:f>Plan1!$I$27:$I$31</c:f>
              <c:numCache>
                <c:formatCode>General</c:formatCode>
                <c:ptCount val="5"/>
                <c:pt idx="0">
                  <c:v>8.7711950000000005</c:v>
                </c:pt>
                <c:pt idx="1">
                  <c:v>14.69969</c:v>
                </c:pt>
                <c:pt idx="2">
                  <c:v>29.525639999999999</c:v>
                </c:pt>
                <c:pt idx="3">
                  <c:v>68.868669999999995</c:v>
                </c:pt>
                <c:pt idx="4">
                  <c:v>81.630350000000007</c:v>
                </c:pt>
              </c:numCache>
            </c:numRef>
          </c:yVal>
          <c:smooth val="0"/>
          <c:extLst xmlns:c16r2="http://schemas.microsoft.com/office/drawing/2015/06/chart">
            <c:ext xmlns:c16="http://schemas.microsoft.com/office/drawing/2014/chart" uri="{C3380CC4-5D6E-409C-BE32-E72D297353CC}">
              <c16:uniqueId val="{00000001-EDC7-4383-8CB0-878009695854}"/>
            </c:ext>
          </c:extLst>
        </c:ser>
        <c:dLbls>
          <c:showLegendKey val="0"/>
          <c:showVal val="0"/>
          <c:showCatName val="0"/>
          <c:showSerName val="0"/>
          <c:showPercent val="0"/>
          <c:showBubbleSize val="0"/>
        </c:dLbls>
        <c:axId val="132148608"/>
        <c:axId val="132150784"/>
      </c:scatterChart>
      <c:valAx>
        <c:axId val="132148608"/>
        <c:scaling>
          <c:orientation val="minMax"/>
        </c:scaling>
        <c:delete val="0"/>
        <c:axPos val="b"/>
        <c:title>
          <c:tx>
            <c:rich>
              <a:bodyPr/>
              <a:lstStyle/>
              <a:p>
                <a:pPr>
                  <a:defRPr/>
                </a:pPr>
                <a:r>
                  <a:rPr lang="pt-BR"/>
                  <a:t>µM trolox</a:t>
                </a:r>
              </a:p>
            </c:rich>
          </c:tx>
          <c:overlay val="0"/>
        </c:title>
        <c:numFmt formatCode="General" sourceLinked="1"/>
        <c:majorTickMark val="none"/>
        <c:minorTickMark val="none"/>
        <c:tickLblPos val="nextTo"/>
        <c:crossAx val="132150784"/>
        <c:crosses val="autoZero"/>
        <c:crossBetween val="midCat"/>
      </c:valAx>
      <c:valAx>
        <c:axId val="132150784"/>
        <c:scaling>
          <c:orientation val="minMax"/>
        </c:scaling>
        <c:delete val="0"/>
        <c:axPos val="l"/>
        <c:title>
          <c:tx>
            <c:rich>
              <a:bodyPr/>
              <a:lstStyle/>
              <a:p>
                <a:pPr>
                  <a:defRPr/>
                </a:pPr>
                <a:r>
                  <a:rPr lang="pt-BR"/>
                  <a:t>Absorvância 515</a:t>
                </a:r>
                <a:r>
                  <a:rPr lang="pt-BR" baseline="0"/>
                  <a:t> nm</a:t>
                </a:r>
                <a:endParaRPr lang="pt-BR"/>
              </a:p>
            </c:rich>
          </c:tx>
          <c:overlay val="0"/>
        </c:title>
        <c:numFmt formatCode="General" sourceLinked="1"/>
        <c:majorTickMark val="none"/>
        <c:minorTickMark val="none"/>
        <c:tickLblPos val="nextTo"/>
        <c:crossAx val="132148608"/>
        <c:crosses val="autoZero"/>
        <c:crossBetween val="midCat"/>
      </c:valAx>
      <c:spPr>
        <a:noFill/>
        <a:ln w="25400">
          <a:noFill/>
        </a:ln>
      </c:spPr>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pt-BR"/>
              <a:t>Reta</a:t>
            </a:r>
            <a:r>
              <a:rPr lang="pt-BR" baseline="0"/>
              <a:t> Padrão</a:t>
            </a:r>
            <a:endParaRPr lang="pt-B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40633355205599297"/>
                  <c:y val="-2.8136847477398658E-2"/>
                </c:manualLayout>
              </c:layout>
              <c:numFmt formatCode="General" sourceLinked="0"/>
            </c:trendlineLbl>
          </c:trendline>
          <c:xVal>
            <c:numRef>
              <c:f>'[calculo flavonoides.xlsx]Plan1'!$B$5:$B$24</c:f>
              <c:numCache>
                <c:formatCode>General</c:formatCode>
                <c:ptCount val="20"/>
                <c:pt idx="0">
                  <c:v>0.04</c:v>
                </c:pt>
                <c:pt idx="1">
                  <c:v>0.04</c:v>
                </c:pt>
                <c:pt idx="2">
                  <c:v>0.02</c:v>
                </c:pt>
                <c:pt idx="3">
                  <c:v>0.02</c:v>
                </c:pt>
                <c:pt idx="4">
                  <c:v>0.01</c:v>
                </c:pt>
                <c:pt idx="5">
                  <c:v>0.01</c:v>
                </c:pt>
                <c:pt idx="6">
                  <c:v>5.0000000000000001E-3</c:v>
                </c:pt>
                <c:pt idx="7">
                  <c:v>5.0000000000000001E-3</c:v>
                </c:pt>
                <c:pt idx="8">
                  <c:v>2.5000000000000001E-3</c:v>
                </c:pt>
                <c:pt idx="9">
                  <c:v>2.5000000000000001E-3</c:v>
                </c:pt>
                <c:pt idx="10">
                  <c:v>1.25E-3</c:v>
                </c:pt>
                <c:pt idx="11">
                  <c:v>1.25E-3</c:v>
                </c:pt>
                <c:pt idx="12">
                  <c:v>6.625E-4</c:v>
                </c:pt>
                <c:pt idx="13">
                  <c:v>6.625E-4</c:v>
                </c:pt>
                <c:pt idx="14">
                  <c:v>3.1250000000000001E-4</c:v>
                </c:pt>
                <c:pt idx="15">
                  <c:v>3.1250000000000001E-4</c:v>
                </c:pt>
                <c:pt idx="16">
                  <c:v>1.562E-4</c:v>
                </c:pt>
                <c:pt idx="17">
                  <c:v>1.562E-4</c:v>
                </c:pt>
                <c:pt idx="18">
                  <c:v>7.8100000000000001E-5</c:v>
                </c:pt>
                <c:pt idx="19">
                  <c:v>7.8100000000000001E-5</c:v>
                </c:pt>
              </c:numCache>
            </c:numRef>
          </c:xVal>
          <c:yVal>
            <c:numRef>
              <c:f>'[calculo flavonoides.xlsx]Plan1'!$D$5:$D$24</c:f>
              <c:numCache>
                <c:formatCode>General</c:formatCode>
                <c:ptCount val="20"/>
                <c:pt idx="0">
                  <c:v>2.6124999999999998</c:v>
                </c:pt>
                <c:pt idx="2">
                  <c:v>2.0465</c:v>
                </c:pt>
                <c:pt idx="4">
                  <c:v>1.829</c:v>
                </c:pt>
                <c:pt idx="6">
                  <c:v>1.0115000000000001</c:v>
                </c:pt>
                <c:pt idx="8">
                  <c:v>0.59450000000000003</c:v>
                </c:pt>
                <c:pt idx="10">
                  <c:v>0.29349999999999998</c:v>
                </c:pt>
                <c:pt idx="12">
                  <c:v>0.157</c:v>
                </c:pt>
                <c:pt idx="14">
                  <c:v>9.6500000000000002E-2</c:v>
                </c:pt>
                <c:pt idx="16">
                  <c:v>8.4999999999999992E-2</c:v>
                </c:pt>
                <c:pt idx="18">
                  <c:v>5.1000000000000004E-2</c:v>
                </c:pt>
              </c:numCache>
            </c:numRef>
          </c:yVal>
          <c:smooth val="0"/>
          <c:extLst xmlns:c16r2="http://schemas.microsoft.com/office/drawing/2015/06/chart">
            <c:ext xmlns:c16="http://schemas.microsoft.com/office/drawing/2014/chart" uri="{C3380CC4-5D6E-409C-BE32-E72D297353CC}">
              <c16:uniqueId val="{00000001-8F32-4C52-8EAC-58406641E065}"/>
            </c:ext>
          </c:extLst>
        </c:ser>
        <c:dLbls>
          <c:showLegendKey val="0"/>
          <c:showVal val="0"/>
          <c:showCatName val="0"/>
          <c:showSerName val="0"/>
          <c:showPercent val="0"/>
          <c:showBubbleSize val="0"/>
        </c:dLbls>
        <c:axId val="132169088"/>
        <c:axId val="132449792"/>
      </c:scatterChart>
      <c:valAx>
        <c:axId val="132169088"/>
        <c:scaling>
          <c:orientation val="minMax"/>
        </c:scaling>
        <c:delete val="0"/>
        <c:axPos val="b"/>
        <c:title>
          <c:tx>
            <c:rich>
              <a:bodyPr/>
              <a:lstStyle/>
              <a:p>
                <a:pPr>
                  <a:defRPr/>
                </a:pPr>
                <a:r>
                  <a:rPr lang="pt-BR"/>
                  <a:t> queretina mg/ml</a:t>
                </a:r>
              </a:p>
            </c:rich>
          </c:tx>
          <c:overlay val="0"/>
        </c:title>
        <c:numFmt formatCode="General" sourceLinked="1"/>
        <c:majorTickMark val="none"/>
        <c:minorTickMark val="none"/>
        <c:tickLblPos val="nextTo"/>
        <c:crossAx val="132449792"/>
        <c:crosses val="autoZero"/>
        <c:crossBetween val="midCat"/>
      </c:valAx>
      <c:valAx>
        <c:axId val="132449792"/>
        <c:scaling>
          <c:orientation val="minMax"/>
        </c:scaling>
        <c:delete val="0"/>
        <c:axPos val="l"/>
        <c:title>
          <c:tx>
            <c:rich>
              <a:bodyPr/>
              <a:lstStyle/>
              <a:p>
                <a:pPr>
                  <a:defRPr/>
                </a:pPr>
                <a:r>
                  <a:rPr lang="pt-BR"/>
                  <a:t>Absorvância</a:t>
                </a:r>
                <a:r>
                  <a:rPr lang="pt-BR" baseline="0"/>
                  <a:t> </a:t>
                </a:r>
                <a:r>
                  <a:rPr lang="pt-BR"/>
                  <a:t>420</a:t>
                </a:r>
                <a:r>
                  <a:rPr lang="pt-BR" baseline="0"/>
                  <a:t> nm</a:t>
                </a:r>
                <a:endParaRPr lang="pt-BR"/>
              </a:p>
            </c:rich>
          </c:tx>
          <c:overlay val="0"/>
        </c:title>
        <c:numFmt formatCode="General" sourceLinked="1"/>
        <c:majorTickMark val="none"/>
        <c:minorTickMark val="none"/>
        <c:tickLblPos val="nextTo"/>
        <c:crossAx val="132169088"/>
        <c:crosses val="autoZero"/>
        <c:crossBetween val="midCat"/>
      </c:valAx>
      <c:spPr>
        <a:noFill/>
        <a:ln w="25400">
          <a:noFill/>
        </a:ln>
      </c:spPr>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a:t>reta padrão</a:t>
            </a:r>
          </a:p>
        </c:rich>
      </c:tx>
      <c:overlay val="0"/>
    </c:title>
    <c:autoTitleDeleted val="0"/>
    <c:plotArea>
      <c:layout/>
      <c:scatterChart>
        <c:scatterStyle val="lineMarker"/>
        <c:varyColors val="0"/>
        <c:ser>
          <c:idx val="1"/>
          <c:order val="0"/>
          <c:tx>
            <c:v>padrão</c:v>
          </c:tx>
          <c:spPr>
            <a:ln w="28575">
              <a:noFill/>
            </a:ln>
          </c:spPr>
          <c:trendline>
            <c:trendlineType val="linear"/>
            <c:dispRSqr val="1"/>
            <c:dispEq val="1"/>
            <c:trendlineLbl>
              <c:layout>
                <c:manualLayout>
                  <c:x val="0.14529449250942397"/>
                  <c:y val="0.21202938174394867"/>
                </c:manualLayout>
              </c:layout>
              <c:numFmt formatCode="General" sourceLinked="0"/>
            </c:trendlineLbl>
          </c:trendline>
          <c:xVal>
            <c:numRef>
              <c:f>Plan1!$F$7:$F$11</c:f>
              <c:numCache>
                <c:formatCode>General</c:formatCode>
                <c:ptCount val="5"/>
                <c:pt idx="0">
                  <c:v>5</c:v>
                </c:pt>
                <c:pt idx="1">
                  <c:v>2.5</c:v>
                </c:pt>
                <c:pt idx="2">
                  <c:v>1.25</c:v>
                </c:pt>
                <c:pt idx="3">
                  <c:v>0.625</c:v>
                </c:pt>
                <c:pt idx="4">
                  <c:v>0.3125</c:v>
                </c:pt>
              </c:numCache>
            </c:numRef>
          </c:xVal>
          <c:yVal>
            <c:numRef>
              <c:f>Plan1!$E$7:$E$11</c:f>
              <c:numCache>
                <c:formatCode>General</c:formatCode>
                <c:ptCount val="5"/>
                <c:pt idx="0">
                  <c:v>0.1925</c:v>
                </c:pt>
                <c:pt idx="1">
                  <c:v>0.112</c:v>
                </c:pt>
                <c:pt idx="2">
                  <c:v>5.7499999999999996E-2</c:v>
                </c:pt>
                <c:pt idx="3">
                  <c:v>2.5999999999999999E-2</c:v>
                </c:pt>
                <c:pt idx="4">
                  <c:v>1.4999999999999999E-2</c:v>
                </c:pt>
              </c:numCache>
            </c:numRef>
          </c:yVal>
          <c:smooth val="0"/>
          <c:extLst xmlns:c16r2="http://schemas.microsoft.com/office/drawing/2015/06/chart">
            <c:ext xmlns:c16="http://schemas.microsoft.com/office/drawing/2014/chart" uri="{C3380CC4-5D6E-409C-BE32-E72D297353CC}">
              <c16:uniqueId val="{00000001-44AB-4F1E-882E-7138E5F3492C}"/>
            </c:ext>
          </c:extLst>
        </c:ser>
        <c:dLbls>
          <c:showLegendKey val="0"/>
          <c:showVal val="0"/>
          <c:showCatName val="0"/>
          <c:showSerName val="0"/>
          <c:showPercent val="0"/>
          <c:showBubbleSize val="0"/>
        </c:dLbls>
        <c:axId val="132463232"/>
        <c:axId val="132465408"/>
      </c:scatterChart>
      <c:valAx>
        <c:axId val="132463232"/>
        <c:scaling>
          <c:orientation val="minMax"/>
        </c:scaling>
        <c:delete val="0"/>
        <c:axPos val="b"/>
        <c:title>
          <c:tx>
            <c:rich>
              <a:bodyPr/>
              <a:lstStyle/>
              <a:p>
                <a:pPr>
                  <a:defRPr/>
                </a:pPr>
                <a:r>
                  <a:rPr lang="pt-BR"/>
                  <a:t>catequina mg/mL</a:t>
                </a:r>
              </a:p>
            </c:rich>
          </c:tx>
          <c:overlay val="0"/>
        </c:title>
        <c:numFmt formatCode="General" sourceLinked="1"/>
        <c:majorTickMark val="none"/>
        <c:minorTickMark val="none"/>
        <c:tickLblPos val="nextTo"/>
        <c:crossAx val="132465408"/>
        <c:crosses val="autoZero"/>
        <c:crossBetween val="midCat"/>
      </c:valAx>
      <c:valAx>
        <c:axId val="132465408"/>
        <c:scaling>
          <c:orientation val="minMax"/>
        </c:scaling>
        <c:delete val="0"/>
        <c:axPos val="l"/>
        <c:title>
          <c:tx>
            <c:rich>
              <a:bodyPr/>
              <a:lstStyle/>
              <a:p>
                <a:pPr>
                  <a:defRPr/>
                </a:pPr>
                <a:r>
                  <a:rPr lang="pt-BR"/>
                  <a:t>Absorvância</a:t>
                </a:r>
                <a:r>
                  <a:rPr lang="pt-BR" baseline="0"/>
                  <a:t> 500nm </a:t>
                </a:r>
                <a:endParaRPr lang="pt-BR"/>
              </a:p>
            </c:rich>
          </c:tx>
          <c:overlay val="0"/>
        </c:title>
        <c:numFmt formatCode="General" sourceLinked="1"/>
        <c:majorTickMark val="none"/>
        <c:minorTickMark val="none"/>
        <c:tickLblPos val="nextTo"/>
        <c:crossAx val="132463232"/>
        <c:crosses val="autoZero"/>
        <c:crossBetween val="midCat"/>
      </c:valAx>
      <c:spPr>
        <a:noFill/>
        <a:ln w="25400">
          <a:noFill/>
        </a:ln>
      </c:spPr>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j-lt"/>
                        <a:ea typeface="+mn-ea"/>
                        <a:cs typeface="Times New Roman" panose="02020603050405020304" pitchFamily="18" charset="0"/>
                      </a:defRPr>
                    </a:pPr>
                    <a:r>
                      <a:rPr lang="en-US" sz="1000">
                        <a:latin typeface="+mj-lt"/>
                      </a:rPr>
                      <a:t>a</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3E4-49C9-BA75-CC88C813B826}"/>
                </c:ext>
              </c:extLst>
            </c:dLbl>
            <c:dLbl>
              <c:idx val="1"/>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r>
                      <a:rPr lang="en-US" b="1"/>
                      <a:t>c</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3E4-49C9-BA75-CC88C813B826}"/>
                </c:ext>
              </c:extLst>
            </c:dLbl>
            <c:dLbl>
              <c:idx val="2"/>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r>
                      <a:rPr lang="en-US"/>
                      <a:t>b</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3E4-49C9-BA75-CC88C813B826}"/>
                </c:ext>
              </c:extLst>
            </c:dLbl>
            <c:dLbl>
              <c:idx val="3"/>
              <c:tx>
                <c:rich>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r>
                      <a:rPr lang="en-US"/>
                      <a:t>ab</a:t>
                    </a:r>
                  </a:p>
                </c:rich>
              </c:tx>
              <c:spPr>
                <a:noFill/>
                <a:ln>
                  <a:noFill/>
                </a:ln>
                <a:effectLst/>
              </c:spPr>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B3E4-49C9-BA75-CC88C813B82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peso!$H$3:$K$3</c:f>
              <c:strCache>
                <c:ptCount val="4"/>
                <c:pt idx="0">
                  <c:v>laranja </c:v>
                </c:pt>
                <c:pt idx="1">
                  <c:v>verde</c:v>
                </c:pt>
                <c:pt idx="2">
                  <c:v>Rosso</c:v>
                </c:pt>
                <c:pt idx="3">
                  <c:v>Gialla</c:v>
                </c:pt>
              </c:strCache>
            </c:strRef>
          </c:cat>
          <c:val>
            <c:numRef>
              <c:f>peso!$H$4:$K$4</c:f>
              <c:numCache>
                <c:formatCode>General</c:formatCode>
                <c:ptCount val="4"/>
                <c:pt idx="0">
                  <c:v>56.141666669999999</c:v>
                </c:pt>
                <c:pt idx="1">
                  <c:v>45.054166670000001</c:v>
                </c:pt>
                <c:pt idx="2">
                  <c:v>46.473750000000003</c:v>
                </c:pt>
                <c:pt idx="3">
                  <c:v>48.435833330000001</c:v>
                </c:pt>
              </c:numCache>
            </c:numRef>
          </c:val>
          <c:extLst xmlns:c16r2="http://schemas.microsoft.com/office/drawing/2015/06/chart">
            <c:ext xmlns:c16="http://schemas.microsoft.com/office/drawing/2014/chart" uri="{C3380CC4-5D6E-409C-BE32-E72D297353CC}">
              <c16:uniqueId val="{00000000-B3E4-49C9-BA75-CC88C813B826}"/>
            </c:ext>
          </c:extLst>
        </c:ser>
        <c:dLbls>
          <c:dLblPos val="outEnd"/>
          <c:showLegendKey val="0"/>
          <c:showVal val="1"/>
          <c:showCatName val="0"/>
          <c:showSerName val="0"/>
          <c:showPercent val="0"/>
          <c:showBubbleSize val="0"/>
        </c:dLbls>
        <c:gapWidth val="150"/>
        <c:axId val="132502272"/>
        <c:axId val="132503808"/>
      </c:barChart>
      <c:catAx>
        <c:axId val="132502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503808"/>
        <c:crosses val="autoZero"/>
        <c:auto val="1"/>
        <c:lblAlgn val="ctr"/>
        <c:lblOffset val="100"/>
        <c:noMultiLvlLbl val="0"/>
      </c:catAx>
      <c:valAx>
        <c:axId val="1325038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Diâmetro</a:t>
                </a:r>
                <a:r>
                  <a:rPr lang="pt-PT" baseline="0"/>
                  <a:t> (cm)</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502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3CE-4384-912B-CD9E7F919F44}"/>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3CE-4384-912B-CD9E7F919F44}"/>
                </c:ext>
              </c:extLst>
            </c:dLbl>
            <c:dLbl>
              <c:idx val="2"/>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3CE-4384-912B-CD9E7F919F44}"/>
                </c:ext>
              </c:extLst>
            </c:dLbl>
            <c:dLbl>
              <c:idx val="3"/>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33CE-4384-912B-CD9E7F919F4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peso!$H$7:$K$7</c:f>
              <c:strCache>
                <c:ptCount val="4"/>
                <c:pt idx="0">
                  <c:v>laranja</c:v>
                </c:pt>
                <c:pt idx="1">
                  <c:v>verde</c:v>
                </c:pt>
                <c:pt idx="2">
                  <c:v>Rosso</c:v>
                </c:pt>
                <c:pt idx="3">
                  <c:v>Gialla</c:v>
                </c:pt>
              </c:strCache>
            </c:strRef>
          </c:cat>
          <c:val>
            <c:numRef>
              <c:f>peso!$H$8:$K$8</c:f>
              <c:numCache>
                <c:formatCode>General</c:formatCode>
                <c:ptCount val="4"/>
                <c:pt idx="0">
                  <c:v>79.174199999999999</c:v>
                </c:pt>
                <c:pt idx="1">
                  <c:v>83.280799999999999</c:v>
                </c:pt>
                <c:pt idx="2">
                  <c:v>67.059200000000004</c:v>
                </c:pt>
                <c:pt idx="3">
                  <c:v>74.87</c:v>
                </c:pt>
              </c:numCache>
            </c:numRef>
          </c:val>
          <c:extLst xmlns:c16r2="http://schemas.microsoft.com/office/drawing/2015/06/chart">
            <c:ext xmlns:c16="http://schemas.microsoft.com/office/drawing/2014/chart" uri="{C3380CC4-5D6E-409C-BE32-E72D297353CC}">
              <c16:uniqueId val="{00000000-33CE-4384-912B-CD9E7F919F44}"/>
            </c:ext>
          </c:extLst>
        </c:ser>
        <c:dLbls>
          <c:dLblPos val="outEnd"/>
          <c:showLegendKey val="0"/>
          <c:showVal val="1"/>
          <c:showCatName val="0"/>
          <c:showSerName val="0"/>
          <c:showPercent val="0"/>
          <c:showBubbleSize val="0"/>
        </c:dLbls>
        <c:gapWidth val="150"/>
        <c:axId val="132656128"/>
        <c:axId val="132663168"/>
      </c:barChart>
      <c:catAx>
        <c:axId val="132656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663168"/>
        <c:crosses val="autoZero"/>
        <c:auto val="1"/>
        <c:lblAlgn val="ctr"/>
        <c:lblOffset val="100"/>
        <c:noMultiLvlLbl val="0"/>
      </c:catAx>
      <c:valAx>
        <c:axId val="1326631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Comprimento</a:t>
                </a:r>
                <a:r>
                  <a:rPr lang="pt-PT" baseline="0"/>
                  <a:t> (cm)</a:t>
                </a:r>
                <a:endParaRPr lang="pt-PT"/>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656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B7B-4BE9-B27E-C6ED45327D33}"/>
                </c:ext>
              </c:extLst>
            </c:dLbl>
            <c:dLbl>
              <c:idx val="1"/>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B7B-4BE9-B27E-C6ED45327D33}"/>
                </c:ext>
              </c:extLst>
            </c:dLbl>
            <c:dLbl>
              <c:idx val="2"/>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B7B-4BE9-B27E-C6ED45327D33}"/>
                </c:ext>
              </c:extLst>
            </c:dLbl>
            <c:dLbl>
              <c:idx val="3"/>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B7B-4BE9-B27E-C6ED45327D3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peso!$H$11:$K$11</c:f>
              <c:strCache>
                <c:ptCount val="4"/>
                <c:pt idx="0">
                  <c:v>laranja</c:v>
                </c:pt>
                <c:pt idx="1">
                  <c:v>verde</c:v>
                </c:pt>
                <c:pt idx="2">
                  <c:v>Rosso</c:v>
                </c:pt>
                <c:pt idx="3">
                  <c:v>Gialla</c:v>
                </c:pt>
              </c:strCache>
            </c:strRef>
          </c:cat>
          <c:val>
            <c:numRef>
              <c:f>peso!$H$12:$K$12</c:f>
              <c:numCache>
                <c:formatCode>General</c:formatCode>
                <c:ptCount val="4"/>
                <c:pt idx="0">
                  <c:v>136.72499999999999</c:v>
                </c:pt>
                <c:pt idx="1">
                  <c:v>84.724999999999994</c:v>
                </c:pt>
                <c:pt idx="2">
                  <c:v>82.091999999999999</c:v>
                </c:pt>
                <c:pt idx="3">
                  <c:v>97.1</c:v>
                </c:pt>
              </c:numCache>
            </c:numRef>
          </c:val>
          <c:extLst xmlns:c16r2="http://schemas.microsoft.com/office/drawing/2015/06/chart">
            <c:ext xmlns:c16="http://schemas.microsoft.com/office/drawing/2014/chart" uri="{C3380CC4-5D6E-409C-BE32-E72D297353CC}">
              <c16:uniqueId val="{00000000-1B7B-4BE9-B27E-C6ED45327D33}"/>
            </c:ext>
          </c:extLst>
        </c:ser>
        <c:dLbls>
          <c:showLegendKey val="0"/>
          <c:showVal val="0"/>
          <c:showCatName val="0"/>
          <c:showSerName val="0"/>
          <c:showPercent val="0"/>
          <c:showBubbleSize val="0"/>
        </c:dLbls>
        <c:gapWidth val="150"/>
        <c:axId val="132706304"/>
        <c:axId val="132707840"/>
      </c:barChart>
      <c:catAx>
        <c:axId val="132706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707840"/>
        <c:crosses val="autoZero"/>
        <c:auto val="1"/>
        <c:lblAlgn val="ctr"/>
        <c:lblOffset val="100"/>
        <c:noMultiLvlLbl val="0"/>
      </c:catAx>
      <c:valAx>
        <c:axId val="1327078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Peso (g)</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706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r>
                      <a:rPr lang="en-US"/>
                      <a:t>b</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C4D-4406-AAB7-A0F070C506A3}"/>
                </c:ext>
              </c:extLst>
            </c:dLbl>
            <c:dLbl>
              <c:idx val="1"/>
              <c:tx>
                <c:rich>
                  <a:bodyPr/>
                  <a:lstStyle/>
                  <a:p>
                    <a:r>
                      <a:rPr lang="en-US"/>
                      <a:t>a</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C4D-4406-AAB7-A0F070C506A3}"/>
                </c:ext>
              </c:extLst>
            </c:dLbl>
            <c:dLbl>
              <c:idx val="2"/>
              <c:tx>
                <c:rich>
                  <a:bodyPr/>
                  <a:lstStyle/>
                  <a:p>
                    <a:r>
                      <a:rPr lang="en-US"/>
                      <a:t>d</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C4D-4406-AAB7-A0F070C506A3}"/>
                </c:ext>
              </c:extLst>
            </c:dLbl>
            <c:dLbl>
              <c:idx val="3"/>
              <c:tx>
                <c:rich>
                  <a:bodyPr/>
                  <a:lstStyle/>
                  <a:p>
                    <a:r>
                      <a:rPr lang="en-US"/>
                      <a:t>c</a:t>
                    </a:r>
                  </a:p>
                </c:rich>
              </c:tx>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C4D-4406-AAB7-A0F070C506A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cor!$H$3:$K$3</c:f>
              <c:strCache>
                <c:ptCount val="4"/>
                <c:pt idx="0">
                  <c:v>Laranja</c:v>
                </c:pt>
                <c:pt idx="1">
                  <c:v>Verde</c:v>
                </c:pt>
                <c:pt idx="2">
                  <c:v>Rosso</c:v>
                </c:pt>
                <c:pt idx="3">
                  <c:v>Gialla</c:v>
                </c:pt>
              </c:strCache>
            </c:strRef>
          </c:cat>
          <c:val>
            <c:numRef>
              <c:f>cor!$H$16:$K$16</c:f>
              <c:numCache>
                <c:formatCode>General</c:formatCode>
                <c:ptCount val="4"/>
                <c:pt idx="0">
                  <c:v>58.325833333333321</c:v>
                </c:pt>
                <c:pt idx="1">
                  <c:v>66.555833333333325</c:v>
                </c:pt>
                <c:pt idx="2">
                  <c:v>46.910000000000004</c:v>
                </c:pt>
                <c:pt idx="3">
                  <c:v>55.375000000000007</c:v>
                </c:pt>
              </c:numCache>
            </c:numRef>
          </c:val>
          <c:extLst xmlns:c16r2="http://schemas.microsoft.com/office/drawing/2015/06/chart">
            <c:ext xmlns:c16="http://schemas.microsoft.com/office/drawing/2014/chart" uri="{C3380CC4-5D6E-409C-BE32-E72D297353CC}">
              <c16:uniqueId val="{00000000-DC4D-4406-AAB7-A0F070C506A3}"/>
            </c:ext>
          </c:extLst>
        </c:ser>
        <c:dLbls>
          <c:showLegendKey val="0"/>
          <c:showVal val="0"/>
          <c:showCatName val="0"/>
          <c:showSerName val="0"/>
          <c:showPercent val="0"/>
          <c:showBubbleSize val="0"/>
        </c:dLbls>
        <c:gapWidth val="150"/>
        <c:axId val="132861312"/>
        <c:axId val="132867200"/>
      </c:barChart>
      <c:catAx>
        <c:axId val="13286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67200"/>
        <c:crosses val="autoZero"/>
        <c:auto val="1"/>
        <c:lblAlgn val="ctr"/>
        <c:lblOffset val="100"/>
        <c:noMultiLvlLbl val="0"/>
      </c:catAx>
      <c:valAx>
        <c:axId val="13286720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Luminosidade (L*)</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2861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drawings/_rels/drawing4.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0.17917</cdr:x>
      <cdr:y>0.34375</cdr:y>
    </cdr:from>
    <cdr:to>
      <cdr:x>0.26042</cdr:x>
      <cdr:y>0.42361</cdr:y>
    </cdr:to>
    <cdr:sp macro="" textlink="">
      <cdr:nvSpPr>
        <cdr:cNvPr id="2" name="Caixa de texto 1"/>
        <cdr:cNvSpPr txBox="1"/>
      </cdr:nvSpPr>
      <cdr:spPr>
        <a:xfrm xmlns:a="http://schemas.openxmlformats.org/drawingml/2006/main">
          <a:off x="819150" y="942975"/>
          <a:ext cx="371475" cy="2190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a:t>
          </a:r>
        </a:p>
      </cdr:txBody>
    </cdr:sp>
  </cdr:relSizeAnchor>
  <cdr:relSizeAnchor xmlns:cdr="http://schemas.openxmlformats.org/drawingml/2006/chartDrawing">
    <cdr:from>
      <cdr:x>0.35486</cdr:x>
      <cdr:y>0.08796</cdr:y>
    </cdr:from>
    <cdr:to>
      <cdr:x>0.43611</cdr:x>
      <cdr:y>0.16782</cdr:y>
    </cdr:to>
    <cdr:sp macro="" textlink="">
      <cdr:nvSpPr>
        <cdr:cNvPr id="3" name="Caixa de texto 1"/>
        <cdr:cNvSpPr txBox="1"/>
      </cdr:nvSpPr>
      <cdr:spPr>
        <a:xfrm xmlns:a="http://schemas.openxmlformats.org/drawingml/2006/main">
          <a:off x="1622425" y="241300"/>
          <a:ext cx="371475" cy="2190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0.54306</cdr:x>
      <cdr:y>0.1169</cdr:y>
    </cdr:from>
    <cdr:to>
      <cdr:x>0.62431</cdr:x>
      <cdr:y>0.19676</cdr:y>
    </cdr:to>
    <cdr:sp macro="" textlink="">
      <cdr:nvSpPr>
        <cdr:cNvPr id="4" name="Caixa de texto 1"/>
        <cdr:cNvSpPr txBox="1"/>
      </cdr:nvSpPr>
      <cdr:spPr>
        <a:xfrm xmlns:a="http://schemas.openxmlformats.org/drawingml/2006/main">
          <a:off x="2482850" y="320675"/>
          <a:ext cx="371475" cy="2190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0.725</cdr:x>
      <cdr:y>0.20139</cdr:y>
    </cdr:from>
    <cdr:to>
      <cdr:x>0.80625</cdr:x>
      <cdr:y>0.28125</cdr:y>
    </cdr:to>
    <cdr:sp macro="" textlink="">
      <cdr:nvSpPr>
        <cdr:cNvPr id="5" name="Caixa de texto 1"/>
        <cdr:cNvSpPr txBox="1"/>
      </cdr:nvSpPr>
      <cdr:spPr>
        <a:xfrm xmlns:a="http://schemas.openxmlformats.org/drawingml/2006/main">
          <a:off x="3314700" y="552450"/>
          <a:ext cx="371475" cy="2190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userShapes>
</file>

<file path=word/drawings/drawing2.xml><?xml version="1.0" encoding="utf-8"?>
<c:userShapes xmlns:c="http://schemas.openxmlformats.org/drawingml/2006/chart">
  <cdr:relSizeAnchor xmlns:cdr="http://schemas.openxmlformats.org/drawingml/2006/chartDrawing">
    <cdr:from>
      <cdr:x>0.17083</cdr:x>
      <cdr:y>0.41319</cdr:y>
    </cdr:from>
    <cdr:to>
      <cdr:x>0.28125</cdr:x>
      <cdr:y>0.53472</cdr:y>
    </cdr:to>
    <cdr:sp macro="" textlink="">
      <cdr:nvSpPr>
        <cdr:cNvPr id="2" name="Caixa de texto 1"/>
        <cdr:cNvSpPr txBox="1"/>
      </cdr:nvSpPr>
      <cdr:spPr>
        <a:xfrm xmlns:a="http://schemas.openxmlformats.org/drawingml/2006/main">
          <a:off x="781049" y="1133475"/>
          <a:ext cx="504825" cy="3333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0.36458</cdr:x>
      <cdr:y>0.22222</cdr:y>
    </cdr:from>
    <cdr:to>
      <cdr:x>0.44375</cdr:x>
      <cdr:y>0.33681</cdr:y>
    </cdr:to>
    <cdr:sp macro="" textlink="">
      <cdr:nvSpPr>
        <cdr:cNvPr id="3" name="Caixa de texto 2"/>
        <cdr:cNvSpPr txBox="1"/>
      </cdr:nvSpPr>
      <cdr:spPr>
        <a:xfrm xmlns:a="http://schemas.openxmlformats.org/drawingml/2006/main">
          <a:off x="1666875" y="609599"/>
          <a:ext cx="361950"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0.57708</cdr:x>
      <cdr:y>0.07986</cdr:y>
    </cdr:from>
    <cdr:to>
      <cdr:x>0.65417</cdr:x>
      <cdr:y>0.17708</cdr:y>
    </cdr:to>
    <cdr:sp macro="" textlink="">
      <cdr:nvSpPr>
        <cdr:cNvPr id="4" name="Caixa de texto 3"/>
        <cdr:cNvSpPr txBox="1"/>
      </cdr:nvSpPr>
      <cdr:spPr>
        <a:xfrm xmlns:a="http://schemas.openxmlformats.org/drawingml/2006/main">
          <a:off x="2638425" y="219075"/>
          <a:ext cx="352425"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pt-PT" sz="1100"/>
        </a:p>
      </cdr:txBody>
    </cdr:sp>
  </cdr:relSizeAnchor>
  <cdr:relSizeAnchor xmlns:cdr="http://schemas.openxmlformats.org/drawingml/2006/chartDrawing">
    <cdr:from>
      <cdr:x>0.575</cdr:x>
      <cdr:y>0.08333</cdr:y>
    </cdr:from>
    <cdr:to>
      <cdr:x>0.65417</cdr:x>
      <cdr:y>0.19792</cdr:y>
    </cdr:to>
    <cdr:sp macro="" textlink="">
      <cdr:nvSpPr>
        <cdr:cNvPr id="5" name="Caixa de texto 4"/>
        <cdr:cNvSpPr txBox="1"/>
      </cdr:nvSpPr>
      <cdr:spPr>
        <a:xfrm xmlns:a="http://schemas.openxmlformats.org/drawingml/2006/main">
          <a:off x="2628900" y="228600"/>
          <a:ext cx="361950"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0.76667</cdr:x>
      <cdr:y>0.11806</cdr:y>
    </cdr:from>
    <cdr:to>
      <cdr:x>0.82708</cdr:x>
      <cdr:y>0.22222</cdr:y>
    </cdr:to>
    <cdr:sp macro="" textlink="">
      <cdr:nvSpPr>
        <cdr:cNvPr id="6" name="Caixa de texto 5"/>
        <cdr:cNvSpPr txBox="1"/>
      </cdr:nvSpPr>
      <cdr:spPr>
        <a:xfrm xmlns:a="http://schemas.openxmlformats.org/drawingml/2006/main">
          <a:off x="3505200" y="323850"/>
          <a:ext cx="276225"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pt-PT" sz="1100"/>
        </a:p>
      </cdr:txBody>
    </cdr:sp>
  </cdr:relSizeAnchor>
  <cdr:relSizeAnchor xmlns:cdr="http://schemas.openxmlformats.org/drawingml/2006/chartDrawing">
    <cdr:from>
      <cdr:x>0.75</cdr:x>
      <cdr:y>0.05903</cdr:y>
    </cdr:from>
    <cdr:to>
      <cdr:x>0.86458</cdr:x>
      <cdr:y>0.21528</cdr:y>
    </cdr:to>
    <cdr:sp macro="" textlink="">
      <cdr:nvSpPr>
        <cdr:cNvPr id="7" name="Caixa de texto 6"/>
        <cdr:cNvSpPr txBox="1"/>
      </cdr:nvSpPr>
      <cdr:spPr>
        <a:xfrm xmlns:a="http://schemas.openxmlformats.org/drawingml/2006/main">
          <a:off x="3429000" y="161925"/>
          <a:ext cx="523875" cy="4286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userShapes>
</file>

<file path=word/drawings/drawing3.xml><?xml version="1.0" encoding="utf-8"?>
<c:userShapes xmlns:c="http://schemas.openxmlformats.org/drawingml/2006/chart">
  <cdr:relSizeAnchor xmlns:cdr="http://schemas.openxmlformats.org/drawingml/2006/chartDrawing">
    <cdr:from>
      <cdr:x>0.18542</cdr:x>
      <cdr:y>0.22222</cdr:y>
    </cdr:from>
    <cdr:to>
      <cdr:x>0.275</cdr:x>
      <cdr:y>0.31597</cdr:y>
    </cdr:to>
    <cdr:sp macro="" textlink="">
      <cdr:nvSpPr>
        <cdr:cNvPr id="2" name="Caixa de texto 1"/>
        <cdr:cNvSpPr txBox="1"/>
      </cdr:nvSpPr>
      <cdr:spPr>
        <a:xfrm xmlns:a="http://schemas.openxmlformats.org/drawingml/2006/main">
          <a:off x="847725" y="609600"/>
          <a:ext cx="409575" cy="2571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a:t>
          </a:r>
        </a:p>
      </cdr:txBody>
    </cdr:sp>
  </cdr:relSizeAnchor>
  <cdr:relSizeAnchor xmlns:cdr="http://schemas.openxmlformats.org/drawingml/2006/chartDrawing">
    <cdr:from>
      <cdr:x>0.72361</cdr:x>
      <cdr:y>0</cdr:y>
    </cdr:from>
    <cdr:to>
      <cdr:x>0.81319</cdr:x>
      <cdr:y>0.09375</cdr:y>
    </cdr:to>
    <cdr:sp macro="" textlink="">
      <cdr:nvSpPr>
        <cdr:cNvPr id="3" name="Caixa de texto 1"/>
        <cdr:cNvSpPr txBox="1"/>
      </cdr:nvSpPr>
      <cdr:spPr>
        <a:xfrm xmlns:a="http://schemas.openxmlformats.org/drawingml/2006/main">
          <a:off x="3308350" y="0"/>
          <a:ext cx="409575"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0.54514</cdr:x>
      <cdr:y>0.21296</cdr:y>
    </cdr:from>
    <cdr:to>
      <cdr:x>0.63472</cdr:x>
      <cdr:y>0.30671</cdr:y>
    </cdr:to>
    <cdr:sp macro="" textlink="">
      <cdr:nvSpPr>
        <cdr:cNvPr id="4" name="Caixa de texto 1"/>
        <cdr:cNvSpPr txBox="1"/>
      </cdr:nvSpPr>
      <cdr:spPr>
        <a:xfrm xmlns:a="http://schemas.openxmlformats.org/drawingml/2006/main">
          <a:off x="2492375" y="584200"/>
          <a:ext cx="409575"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0.35833</cdr:x>
      <cdr:y>0.21759</cdr:y>
    </cdr:from>
    <cdr:to>
      <cdr:x>0.44792</cdr:x>
      <cdr:y>0.31134</cdr:y>
    </cdr:to>
    <cdr:sp macro="" textlink="">
      <cdr:nvSpPr>
        <cdr:cNvPr id="5" name="Caixa de texto 1"/>
        <cdr:cNvSpPr txBox="1"/>
      </cdr:nvSpPr>
      <cdr:spPr>
        <a:xfrm xmlns:a="http://schemas.openxmlformats.org/drawingml/2006/main">
          <a:off x="1638300" y="596900"/>
          <a:ext cx="409575"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userShapes>
</file>

<file path=word/drawings/drawing4.xml><?xml version="1.0" encoding="utf-8"?>
<c:userShapes xmlns:c="http://schemas.openxmlformats.org/drawingml/2006/chart">
  <cdr:relSizeAnchor xmlns:cdr="http://schemas.openxmlformats.org/drawingml/2006/chartDrawing">
    <cdr:from>
      <cdr:x>0.25</cdr:x>
      <cdr:y>0.23959</cdr:y>
    </cdr:from>
    <cdr:to>
      <cdr:x>0.30834</cdr:x>
      <cdr:y>0.32986</cdr:y>
    </cdr:to>
    <cdr:sp macro="" textlink="">
      <cdr:nvSpPr>
        <cdr:cNvPr id="2" name="CaixaDeTexto 1">
          <a:extLst xmlns:a="http://schemas.openxmlformats.org/drawingml/2006/main">
            <a:ext uri="{FF2B5EF4-FFF2-40B4-BE49-F238E27FC236}">
              <a16:creationId xmlns="" xmlns:a16="http://schemas.microsoft.com/office/drawing/2014/main" id="{FB5D90E7-CE4C-4077-8502-898903A4B5EC}"/>
            </a:ext>
          </a:extLst>
        </cdr:cNvPr>
        <cdr:cNvSpPr txBox="1"/>
      </cdr:nvSpPr>
      <cdr:spPr>
        <a:xfrm xmlns:a="http://schemas.openxmlformats.org/drawingml/2006/main">
          <a:off x="1142985" y="657237"/>
          <a:ext cx="266730" cy="24762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0.21042</cdr:x>
      <cdr:y>0</cdr:y>
    </cdr:from>
    <cdr:to>
      <cdr:x>0.29792</cdr:x>
      <cdr:y>0.10764</cdr:y>
    </cdr:to>
    <cdr:sp macro="" textlink="">
      <cdr:nvSpPr>
        <cdr:cNvPr id="3" name="CaixaDeTexto 2">
          <a:extLst xmlns:a="http://schemas.openxmlformats.org/drawingml/2006/main">
            <a:ext uri="{FF2B5EF4-FFF2-40B4-BE49-F238E27FC236}">
              <a16:creationId xmlns="" xmlns:a16="http://schemas.microsoft.com/office/drawing/2014/main" id="{9B7E7FB0-2178-4B47-9DD3-8FD0BA46F365}"/>
            </a:ext>
          </a:extLst>
        </cdr:cNvPr>
        <cdr:cNvSpPr txBox="1"/>
      </cdr:nvSpPr>
      <cdr:spPr>
        <a:xfrm xmlns:a="http://schemas.openxmlformats.org/drawingml/2006/main">
          <a:off x="962025" y="0"/>
          <a:ext cx="4000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0.3625</cdr:x>
      <cdr:y>0.45486</cdr:y>
    </cdr:from>
    <cdr:to>
      <cdr:x>0.43334</cdr:x>
      <cdr:y>0.58681</cdr:y>
    </cdr:to>
    <cdr:sp macro="" textlink="">
      <cdr:nvSpPr>
        <cdr:cNvPr id="4" name="CaixaDeTexto 3">
          <a:extLst xmlns:a="http://schemas.openxmlformats.org/drawingml/2006/main">
            <a:ext uri="{FF2B5EF4-FFF2-40B4-BE49-F238E27FC236}">
              <a16:creationId xmlns="" xmlns:a16="http://schemas.microsoft.com/office/drawing/2014/main" id="{1F50A9DC-BED0-4D93-A284-AA6330F7EB29}"/>
            </a:ext>
          </a:extLst>
        </cdr:cNvPr>
        <cdr:cNvSpPr txBox="1"/>
      </cdr:nvSpPr>
      <cdr:spPr>
        <a:xfrm xmlns:a="http://schemas.openxmlformats.org/drawingml/2006/main">
          <a:off x="1657335" y="1247772"/>
          <a:ext cx="323880" cy="361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0.41666</cdr:x>
      <cdr:y>0.46875</cdr:y>
    </cdr:from>
    <cdr:to>
      <cdr:x>0.46875</cdr:x>
      <cdr:y>0.55208</cdr:y>
    </cdr:to>
    <cdr:sp macro="" textlink="">
      <cdr:nvSpPr>
        <cdr:cNvPr id="5" name="CaixaDeTexto 4">
          <a:extLst xmlns:a="http://schemas.openxmlformats.org/drawingml/2006/main">
            <a:ext uri="{FF2B5EF4-FFF2-40B4-BE49-F238E27FC236}">
              <a16:creationId xmlns="" xmlns:a16="http://schemas.microsoft.com/office/drawing/2014/main" id="{53C5CE95-624F-4D4A-8985-312511456650}"/>
            </a:ext>
          </a:extLst>
        </cdr:cNvPr>
        <cdr:cNvSpPr txBox="1"/>
      </cdr:nvSpPr>
      <cdr:spPr>
        <a:xfrm xmlns:a="http://schemas.openxmlformats.org/drawingml/2006/main">
          <a:off x="1904985" y="1285875"/>
          <a:ext cx="238155" cy="2285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0.53542</cdr:x>
      <cdr:y>0.33681</cdr:y>
    </cdr:from>
    <cdr:to>
      <cdr:x>0.56875</cdr:x>
      <cdr:y>0.41319</cdr:y>
    </cdr:to>
    <cdr:sp macro="" textlink="">
      <cdr:nvSpPr>
        <cdr:cNvPr id="6" name="CaixaDeTexto 5">
          <a:extLst xmlns:a="http://schemas.openxmlformats.org/drawingml/2006/main">
            <a:ext uri="{FF2B5EF4-FFF2-40B4-BE49-F238E27FC236}">
              <a16:creationId xmlns="" xmlns:a16="http://schemas.microsoft.com/office/drawing/2014/main" id="{1E22EBFA-BE1B-4484-84C7-9A7F4B044EE0}"/>
            </a:ext>
          </a:extLst>
        </cdr:cNvPr>
        <cdr:cNvSpPr txBox="1"/>
      </cdr:nvSpPr>
      <cdr:spPr>
        <a:xfrm xmlns:a="http://schemas.openxmlformats.org/drawingml/2006/main">
          <a:off x="2447925" y="923925"/>
          <a:ext cx="152400"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0.58125</cdr:x>
      <cdr:y>0.4375</cdr:y>
    </cdr:from>
    <cdr:to>
      <cdr:x>0.6375</cdr:x>
      <cdr:y>0.52083</cdr:y>
    </cdr:to>
    <cdr:sp macro="" textlink="">
      <cdr:nvSpPr>
        <cdr:cNvPr id="7" name="CaixaDeTexto 6">
          <a:extLst xmlns:a="http://schemas.openxmlformats.org/drawingml/2006/main">
            <a:ext uri="{FF2B5EF4-FFF2-40B4-BE49-F238E27FC236}">
              <a16:creationId xmlns="" xmlns:a16="http://schemas.microsoft.com/office/drawing/2014/main" id="{B96C6CB9-FA3D-41C5-B08E-8113B33D6609}"/>
            </a:ext>
          </a:extLst>
        </cdr:cNvPr>
        <cdr:cNvSpPr txBox="1"/>
      </cdr:nvSpPr>
      <cdr:spPr>
        <a:xfrm xmlns:a="http://schemas.openxmlformats.org/drawingml/2006/main">
          <a:off x="2657475" y="1200150"/>
          <a:ext cx="257175"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0.72083</cdr:x>
      <cdr:y>0.12847</cdr:y>
    </cdr:from>
    <cdr:to>
      <cdr:x>0.75625</cdr:x>
      <cdr:y>0.19097</cdr:y>
    </cdr:to>
    <cdr:sp macro="" textlink="">
      <cdr:nvSpPr>
        <cdr:cNvPr id="8" name="CaixaDeTexto 7">
          <a:extLst xmlns:a="http://schemas.openxmlformats.org/drawingml/2006/main">
            <a:ext uri="{FF2B5EF4-FFF2-40B4-BE49-F238E27FC236}">
              <a16:creationId xmlns="" xmlns:a16="http://schemas.microsoft.com/office/drawing/2014/main" id="{ACDF1CBB-8E20-4E28-B085-12A80860DA76}"/>
            </a:ext>
          </a:extLst>
        </cdr:cNvPr>
        <cdr:cNvSpPr txBox="1"/>
      </cdr:nvSpPr>
      <cdr:spPr>
        <a:xfrm xmlns:a="http://schemas.openxmlformats.org/drawingml/2006/main">
          <a:off x="3295650" y="352425"/>
          <a:ext cx="161925" cy="1714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0.75833</cdr:x>
      <cdr:y>0.53819</cdr:y>
    </cdr:from>
    <cdr:to>
      <cdr:x>0.81875</cdr:x>
      <cdr:y>0.63194</cdr:y>
    </cdr:to>
    <cdr:sp macro="" textlink="">
      <cdr:nvSpPr>
        <cdr:cNvPr id="9" name="CaixaDeTexto 8">
          <a:extLst xmlns:a="http://schemas.openxmlformats.org/drawingml/2006/main">
            <a:ext uri="{FF2B5EF4-FFF2-40B4-BE49-F238E27FC236}">
              <a16:creationId xmlns="" xmlns:a16="http://schemas.microsoft.com/office/drawing/2014/main" id="{92D02CB3-AF3A-4705-9513-01A69192B337}"/>
            </a:ext>
          </a:extLst>
        </cdr:cNvPr>
        <cdr:cNvSpPr txBox="1"/>
      </cdr:nvSpPr>
      <cdr:spPr>
        <a:xfrm xmlns:a="http://schemas.openxmlformats.org/drawingml/2006/main">
          <a:off x="3467100" y="1476375"/>
          <a:ext cx="276225"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a</a:t>
          </a:r>
        </a:p>
      </cdr:txBody>
    </cdr:sp>
  </cdr:relSizeAnchor>
  <cdr:relSizeAnchor xmlns:cdr="http://schemas.openxmlformats.org/drawingml/2006/chartDrawing">
    <cdr:from>
      <cdr:x>0.37083</cdr:x>
      <cdr:y>0.38889</cdr:y>
    </cdr:from>
    <cdr:to>
      <cdr:x>0.45625</cdr:x>
      <cdr:y>0.46875</cdr:y>
    </cdr:to>
    <cdr:sp macro="" textlink="">
      <cdr:nvSpPr>
        <cdr:cNvPr id="10" name="CaixaDeTexto 9">
          <a:extLst xmlns:a="http://schemas.openxmlformats.org/drawingml/2006/main">
            <a:ext uri="{FF2B5EF4-FFF2-40B4-BE49-F238E27FC236}">
              <a16:creationId xmlns="" xmlns:a16="http://schemas.microsoft.com/office/drawing/2014/main" id="{8F8DDD31-6C0B-4854-8F9C-7C7009BE8D04}"/>
            </a:ext>
          </a:extLst>
        </cdr:cNvPr>
        <cdr:cNvSpPr txBox="1"/>
      </cdr:nvSpPr>
      <cdr:spPr>
        <a:xfrm xmlns:a="http://schemas.openxmlformats.org/drawingml/2006/main">
          <a:off x="1695450" y="1066800"/>
          <a:ext cx="3905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0.56458</cdr:x>
      <cdr:y>0.24653</cdr:y>
    </cdr:from>
    <cdr:to>
      <cdr:x>0.65208</cdr:x>
      <cdr:y>0.33333</cdr:y>
    </cdr:to>
    <cdr:sp macro="" textlink="">
      <cdr:nvSpPr>
        <cdr:cNvPr id="11" name="CaixaDeTexto 10">
          <a:extLst xmlns:a="http://schemas.openxmlformats.org/drawingml/2006/main">
            <a:ext uri="{FF2B5EF4-FFF2-40B4-BE49-F238E27FC236}">
              <a16:creationId xmlns="" xmlns:a16="http://schemas.microsoft.com/office/drawing/2014/main" id="{45CDF859-6444-4C5C-BE14-B461B303A2A4}"/>
            </a:ext>
          </a:extLst>
        </cdr:cNvPr>
        <cdr:cNvSpPr txBox="1"/>
      </cdr:nvSpPr>
      <cdr:spPr>
        <a:xfrm xmlns:a="http://schemas.openxmlformats.org/drawingml/2006/main">
          <a:off x="2581275" y="676275"/>
          <a:ext cx="4000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0.76042</cdr:x>
      <cdr:y>0.08681</cdr:y>
    </cdr:from>
    <cdr:to>
      <cdr:x>0.85625</cdr:x>
      <cdr:y>0.16667</cdr:y>
    </cdr:to>
    <cdr:sp macro="" textlink="">
      <cdr:nvSpPr>
        <cdr:cNvPr id="12" name="CaixaDeTexto 11">
          <a:extLst xmlns:a="http://schemas.openxmlformats.org/drawingml/2006/main">
            <a:ext uri="{FF2B5EF4-FFF2-40B4-BE49-F238E27FC236}">
              <a16:creationId xmlns="" xmlns:a16="http://schemas.microsoft.com/office/drawing/2014/main" id="{8F323EE2-80EE-4B6E-9576-20B3E4B29FD9}"/>
            </a:ext>
          </a:extLst>
        </cdr:cNvPr>
        <cdr:cNvSpPr txBox="1"/>
      </cdr:nvSpPr>
      <cdr:spPr>
        <a:xfrm xmlns:a="http://schemas.openxmlformats.org/drawingml/2006/main">
          <a:off x="3476625" y="238125"/>
          <a:ext cx="43815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0.20417</cdr:x>
      <cdr:y>0.08333</cdr:y>
    </cdr:from>
    <cdr:to>
      <cdr:x>0.25884</cdr:x>
      <cdr:y>0.19223</cdr:y>
    </cdr:to>
    <cdr:pic>
      <cdr:nvPicPr>
        <cdr:cNvPr id="13"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933450" y="228600"/>
          <a:ext cx="249958" cy="298730"/>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0.19791</cdr:x>
      <cdr:y>0.53819</cdr:y>
    </cdr:from>
    <cdr:to>
      <cdr:x>0.27916</cdr:x>
      <cdr:y>0.64236</cdr:y>
    </cdr:to>
    <cdr:sp macro="" textlink="">
      <cdr:nvSpPr>
        <cdr:cNvPr id="2" name="Caixa de texto 1"/>
        <cdr:cNvSpPr txBox="1"/>
      </cdr:nvSpPr>
      <cdr:spPr>
        <a:xfrm xmlns:a="http://schemas.openxmlformats.org/drawingml/2006/main">
          <a:off x="904860" y="1476366"/>
          <a:ext cx="371475" cy="28575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a:t>
          </a:r>
        </a:p>
      </cdr:txBody>
    </cdr:sp>
  </cdr:relSizeAnchor>
  <cdr:relSizeAnchor xmlns:cdr="http://schemas.openxmlformats.org/drawingml/2006/chartDrawing">
    <cdr:from>
      <cdr:x>0.20694</cdr:x>
      <cdr:y>0.5081</cdr:y>
    </cdr:from>
    <cdr:to>
      <cdr:x>0.28819</cdr:x>
      <cdr:y>0.61227</cdr:y>
    </cdr:to>
    <cdr:sp macro="" textlink="">
      <cdr:nvSpPr>
        <cdr:cNvPr id="3" name="Caixa de texto 1"/>
        <cdr:cNvSpPr txBox="1"/>
      </cdr:nvSpPr>
      <cdr:spPr>
        <a:xfrm xmlns:a="http://schemas.openxmlformats.org/drawingml/2006/main">
          <a:off x="946135" y="1393816"/>
          <a:ext cx="371475" cy="285759"/>
        </a:xfrm>
        <a:prstGeom xmlns:a="http://schemas.openxmlformats.org/drawingml/2006/main" prst="rect">
          <a:avLst/>
        </a:prstGeom>
      </cdr:spPr>
    </cdr:sp>
  </cdr:relSizeAnchor>
  <cdr:relSizeAnchor xmlns:cdr="http://schemas.openxmlformats.org/drawingml/2006/chartDrawing">
    <cdr:from>
      <cdr:x>0.28819</cdr:x>
      <cdr:y>0.27893</cdr:y>
    </cdr:from>
    <cdr:to>
      <cdr:x>0.36944</cdr:x>
      <cdr:y>0.3831</cdr:y>
    </cdr:to>
    <cdr:sp macro="" textlink="">
      <cdr:nvSpPr>
        <cdr:cNvPr id="4" name="Caixa de texto 1"/>
        <cdr:cNvSpPr txBox="1"/>
      </cdr:nvSpPr>
      <cdr:spPr>
        <a:xfrm xmlns:a="http://schemas.openxmlformats.org/drawingml/2006/main">
          <a:off x="1317610" y="765166"/>
          <a:ext cx="371475" cy="285759"/>
        </a:xfrm>
        <a:prstGeom xmlns:a="http://schemas.openxmlformats.org/drawingml/2006/main" prst="rect">
          <a:avLst/>
        </a:prstGeom>
      </cdr:spPr>
    </cdr:sp>
  </cdr:relSizeAnchor>
  <cdr:relSizeAnchor xmlns:cdr="http://schemas.openxmlformats.org/drawingml/2006/chartDrawing">
    <cdr:from>
      <cdr:x>0.36736</cdr:x>
      <cdr:y>0.56713</cdr:y>
    </cdr:from>
    <cdr:to>
      <cdr:x>0.44861</cdr:x>
      <cdr:y>0.6713</cdr:y>
    </cdr:to>
    <cdr:sp macro="" textlink="">
      <cdr:nvSpPr>
        <cdr:cNvPr id="5" name="Caixa de texto 1"/>
        <cdr:cNvSpPr txBox="1"/>
      </cdr:nvSpPr>
      <cdr:spPr>
        <a:xfrm xmlns:a="http://schemas.openxmlformats.org/drawingml/2006/main">
          <a:off x="1679560" y="1555741"/>
          <a:ext cx="371475" cy="28575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NS</a:t>
          </a:r>
        </a:p>
      </cdr:txBody>
    </cdr:sp>
  </cdr:relSizeAnchor>
  <cdr:relSizeAnchor xmlns:cdr="http://schemas.openxmlformats.org/drawingml/2006/chartDrawing">
    <cdr:from>
      <cdr:x>0.55764</cdr:x>
      <cdr:y>0.06828</cdr:y>
    </cdr:from>
    <cdr:to>
      <cdr:x>0.63889</cdr:x>
      <cdr:y>0.17245</cdr:y>
    </cdr:to>
    <cdr:sp macro="" textlink="">
      <cdr:nvSpPr>
        <cdr:cNvPr id="6" name="Caixa de texto 1"/>
        <cdr:cNvSpPr txBox="1"/>
      </cdr:nvSpPr>
      <cdr:spPr>
        <a:xfrm xmlns:a="http://schemas.openxmlformats.org/drawingml/2006/main">
          <a:off x="2549510" y="187316"/>
          <a:ext cx="371475" cy="28575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NS</a:t>
          </a:r>
        </a:p>
      </cdr:txBody>
    </cdr:sp>
  </cdr:relSizeAnchor>
  <cdr:relSizeAnchor xmlns:cdr="http://schemas.openxmlformats.org/drawingml/2006/chartDrawing">
    <cdr:from>
      <cdr:x>0.74097</cdr:x>
      <cdr:y>0.48148</cdr:y>
    </cdr:from>
    <cdr:to>
      <cdr:x>0.82222</cdr:x>
      <cdr:y>0.58565</cdr:y>
    </cdr:to>
    <cdr:sp macro="" textlink="">
      <cdr:nvSpPr>
        <cdr:cNvPr id="7" name="Caixa de texto 1"/>
        <cdr:cNvSpPr txBox="1"/>
      </cdr:nvSpPr>
      <cdr:spPr>
        <a:xfrm xmlns:a="http://schemas.openxmlformats.org/drawingml/2006/main">
          <a:off x="3387710" y="1320791"/>
          <a:ext cx="371475" cy="28575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userShapes>
</file>

<file path=word/drawings/drawing6.xml><?xml version="1.0" encoding="utf-8"?>
<c:userShapes xmlns:c="http://schemas.openxmlformats.org/drawingml/2006/chart">
  <cdr:relSizeAnchor xmlns:cdr="http://schemas.openxmlformats.org/drawingml/2006/chartDrawing">
    <cdr:from>
      <cdr:x>0.37705</cdr:x>
      <cdr:y>0.57986</cdr:y>
    </cdr:from>
    <cdr:to>
      <cdr:x>0.45413</cdr:x>
      <cdr:y>0.67708</cdr:y>
    </cdr:to>
    <cdr:sp macro="" textlink="">
      <cdr:nvSpPr>
        <cdr:cNvPr id="2" name="Caixa de texto 1"/>
        <cdr:cNvSpPr txBox="1"/>
      </cdr:nvSpPr>
      <cdr:spPr>
        <a:xfrm xmlns:a="http://schemas.openxmlformats.org/drawingml/2006/main">
          <a:off x="1727478" y="1596195"/>
          <a:ext cx="353144" cy="26762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0.55069</cdr:x>
      <cdr:y>0.27199</cdr:y>
    </cdr:from>
    <cdr:to>
      <cdr:x>0.62778</cdr:x>
      <cdr:y>0.36921</cdr:y>
    </cdr:to>
    <cdr:sp macro="" textlink="">
      <cdr:nvSpPr>
        <cdr:cNvPr id="3" name="Caixa de texto 1"/>
        <cdr:cNvSpPr txBox="1"/>
      </cdr:nvSpPr>
      <cdr:spPr>
        <a:xfrm xmlns:a="http://schemas.openxmlformats.org/drawingml/2006/main">
          <a:off x="2517775" y="746125"/>
          <a:ext cx="352425" cy="2667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NS</a:t>
          </a:r>
        </a:p>
      </cdr:txBody>
    </cdr:sp>
  </cdr:relSizeAnchor>
</c:userShapes>
</file>

<file path=word/drawings/drawing7.xml><?xml version="1.0" encoding="utf-8"?>
<c:userShapes xmlns:c="http://schemas.openxmlformats.org/drawingml/2006/chart">
  <cdr:relSizeAnchor xmlns:cdr="http://schemas.openxmlformats.org/drawingml/2006/chartDrawing">
    <cdr:from>
      <cdr:x>0.16251</cdr:x>
      <cdr:y>0.21544</cdr:y>
    </cdr:from>
    <cdr:to>
      <cdr:x>0.23543</cdr:x>
      <cdr:y>0.3196</cdr:y>
    </cdr:to>
    <cdr:sp macro="" textlink="">
      <cdr:nvSpPr>
        <cdr:cNvPr id="2" name="Caixa de texto 1"/>
        <cdr:cNvSpPr txBox="1"/>
      </cdr:nvSpPr>
      <cdr:spPr>
        <a:xfrm xmlns:a="http://schemas.openxmlformats.org/drawingml/2006/main">
          <a:off x="744562" y="593040"/>
          <a:ext cx="334085" cy="286723"/>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0.39085</cdr:x>
      <cdr:y>0.55017</cdr:y>
    </cdr:from>
    <cdr:to>
      <cdr:x>0.48233</cdr:x>
      <cdr:y>0.67128</cdr:y>
    </cdr:to>
    <cdr:sp macro="" textlink="">
      <cdr:nvSpPr>
        <cdr:cNvPr id="3" name="Caixa de texto 2"/>
        <cdr:cNvSpPr txBox="1"/>
      </cdr:nvSpPr>
      <cdr:spPr>
        <a:xfrm xmlns:a="http://schemas.openxmlformats.org/drawingml/2006/main">
          <a:off x="1790700" y="1514475"/>
          <a:ext cx="419100" cy="3333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0.54054</cdr:x>
      <cdr:y>0.12803</cdr:y>
    </cdr:from>
    <cdr:to>
      <cdr:x>0.6341</cdr:x>
      <cdr:y>0.27682</cdr:y>
    </cdr:to>
    <cdr:sp macro="" textlink="">
      <cdr:nvSpPr>
        <cdr:cNvPr id="4" name="Caixa de texto 3"/>
        <cdr:cNvSpPr txBox="1"/>
      </cdr:nvSpPr>
      <cdr:spPr>
        <a:xfrm xmlns:a="http://schemas.openxmlformats.org/drawingml/2006/main">
          <a:off x="2476488" y="352420"/>
          <a:ext cx="428648" cy="40957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NS</a:t>
          </a:r>
        </a:p>
      </cdr:txBody>
    </cdr:sp>
  </cdr:relSizeAnchor>
  <cdr:relSizeAnchor xmlns:cdr="http://schemas.openxmlformats.org/drawingml/2006/chartDrawing">
    <cdr:from>
      <cdr:x>0.71725</cdr:x>
      <cdr:y>0</cdr:y>
    </cdr:from>
    <cdr:to>
      <cdr:x>0.81912</cdr:x>
      <cdr:y>0.14187</cdr:y>
    </cdr:to>
    <cdr:sp macro="" textlink="">
      <cdr:nvSpPr>
        <cdr:cNvPr id="5" name="Caixa de texto 4"/>
        <cdr:cNvSpPr txBox="1"/>
      </cdr:nvSpPr>
      <cdr:spPr>
        <a:xfrm xmlns:a="http://schemas.openxmlformats.org/drawingml/2006/main">
          <a:off x="3286117" y="0"/>
          <a:ext cx="466720" cy="3905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algn="ctr"/>
          <a:r>
            <a:rPr lang="pt-PT" sz="1100"/>
            <a:t>NS</a:t>
          </a:r>
        </a:p>
      </cdr:txBody>
    </cdr:sp>
  </cdr:relSizeAnchor>
</c:userShapes>
</file>

<file path=word/drawings/drawing8.xml><?xml version="1.0" encoding="utf-8"?>
<c:userShapes xmlns:c="http://schemas.openxmlformats.org/drawingml/2006/chart">
  <cdr:relSizeAnchor xmlns:cdr="http://schemas.openxmlformats.org/drawingml/2006/chartDrawing">
    <cdr:from>
      <cdr:x>0.34167</cdr:x>
      <cdr:y>0</cdr:y>
    </cdr:from>
    <cdr:to>
      <cdr:x>0.42292</cdr:x>
      <cdr:y>0.07986</cdr:y>
    </cdr:to>
    <cdr:sp macro="" textlink="">
      <cdr:nvSpPr>
        <cdr:cNvPr id="2" name="Caixa de texto 1"/>
        <cdr:cNvSpPr txBox="1"/>
      </cdr:nvSpPr>
      <cdr:spPr>
        <a:xfrm xmlns:a="http://schemas.openxmlformats.org/drawingml/2006/main">
          <a:off x="1562100" y="0"/>
          <a:ext cx="371475" cy="21907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pt-PT" sz="1100"/>
            <a:t>***</a:t>
          </a:r>
        </a:p>
      </cdr:txBody>
    </cdr:sp>
  </cdr:relSizeAnchor>
  <cdr:relSizeAnchor xmlns:cdr="http://schemas.openxmlformats.org/drawingml/2006/chartDrawing">
    <cdr:from>
      <cdr:x>0.36111</cdr:x>
      <cdr:y>0.13657</cdr:y>
    </cdr:from>
    <cdr:to>
      <cdr:x>0.44236</cdr:x>
      <cdr:y>0.21644</cdr:y>
    </cdr:to>
    <cdr:sp macro="" textlink="">
      <cdr:nvSpPr>
        <cdr:cNvPr id="3" name="Caixa de texto 1"/>
        <cdr:cNvSpPr txBox="1"/>
      </cdr:nvSpPr>
      <cdr:spPr>
        <a:xfrm xmlns:a="http://schemas.openxmlformats.org/drawingml/2006/main">
          <a:off x="1651000" y="374650"/>
          <a:ext cx="371475" cy="219075"/>
        </a:xfrm>
        <a:prstGeom xmlns:a="http://schemas.openxmlformats.org/drawingml/2006/main" prst="rect">
          <a:avLst/>
        </a:prstGeom>
      </cdr:spPr>
    </cdr:sp>
  </cdr:relSizeAnchor>
  <cdr:relSizeAnchor xmlns:cdr="http://schemas.openxmlformats.org/drawingml/2006/chartDrawing">
    <cdr:from>
      <cdr:x>0.36111</cdr:x>
      <cdr:y>0.13657</cdr:y>
    </cdr:from>
    <cdr:to>
      <cdr:x>0.44236</cdr:x>
      <cdr:y>0.21644</cdr:y>
    </cdr:to>
    <cdr:sp macro="" textlink="">
      <cdr:nvSpPr>
        <cdr:cNvPr id="4" name="Caixa de texto 1"/>
        <cdr:cNvSpPr txBox="1"/>
      </cdr:nvSpPr>
      <cdr:spPr>
        <a:xfrm xmlns:a="http://schemas.openxmlformats.org/drawingml/2006/main">
          <a:off x="1651000" y="374650"/>
          <a:ext cx="371475" cy="219075"/>
        </a:xfrm>
        <a:prstGeom xmlns:a="http://schemas.openxmlformats.org/drawingml/2006/main" prst="rect">
          <a:avLst/>
        </a:prstGeom>
      </cdr:spPr>
    </cdr:sp>
  </cdr:relSizeAnchor>
  <cdr:relSizeAnchor xmlns:cdr="http://schemas.openxmlformats.org/drawingml/2006/chartDrawing">
    <cdr:from>
      <cdr:x>0.36111</cdr:x>
      <cdr:y>0.13657</cdr:y>
    </cdr:from>
    <cdr:to>
      <cdr:x>0.44236</cdr:x>
      <cdr:y>0.21644</cdr:y>
    </cdr:to>
    <cdr:sp macro="" textlink="">
      <cdr:nvSpPr>
        <cdr:cNvPr id="5" name="Caixa de texto 1"/>
        <cdr:cNvSpPr txBox="1"/>
      </cdr:nvSpPr>
      <cdr:spPr>
        <a:xfrm xmlns:a="http://schemas.openxmlformats.org/drawingml/2006/main">
          <a:off x="1651000" y="374650"/>
          <a:ext cx="371475" cy="219075"/>
        </a:xfrm>
        <a:prstGeom xmlns:a="http://schemas.openxmlformats.org/drawingml/2006/main" prst="rect">
          <a:avLst/>
        </a:prstGeom>
      </cdr:spPr>
    </cdr:sp>
  </cdr:relSizeAnchor>
  <cdr:relSizeAnchor xmlns:cdr="http://schemas.openxmlformats.org/drawingml/2006/chartDrawing">
    <cdr:from>
      <cdr:x>0.17569</cdr:x>
      <cdr:y>0.28935</cdr:y>
    </cdr:from>
    <cdr:to>
      <cdr:x>0.25694</cdr:x>
      <cdr:y>0.36921</cdr:y>
    </cdr:to>
    <cdr:sp macro="" textlink="">
      <cdr:nvSpPr>
        <cdr:cNvPr id="6" name="Caixa de texto 1"/>
        <cdr:cNvSpPr txBox="1"/>
      </cdr:nvSpPr>
      <cdr:spPr>
        <a:xfrm xmlns:a="http://schemas.openxmlformats.org/drawingml/2006/main">
          <a:off x="803275" y="793750"/>
          <a:ext cx="371475" cy="2190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0.62778</cdr:x>
      <cdr:y>0.1088</cdr:y>
    </cdr:from>
    <cdr:to>
      <cdr:x>0.70903</cdr:x>
      <cdr:y>0.18866</cdr:y>
    </cdr:to>
    <cdr:sp macro="" textlink="">
      <cdr:nvSpPr>
        <cdr:cNvPr id="7" name="Caixa de texto 1"/>
        <cdr:cNvSpPr txBox="1"/>
      </cdr:nvSpPr>
      <cdr:spPr>
        <a:xfrm xmlns:a="http://schemas.openxmlformats.org/drawingml/2006/main">
          <a:off x="2870200" y="298450"/>
          <a:ext cx="371475" cy="219075"/>
        </a:xfrm>
        <a:prstGeom xmlns:a="http://schemas.openxmlformats.org/drawingml/2006/main" prst="rect">
          <a:avLst/>
        </a:prstGeom>
      </cdr:spPr>
    </cdr:sp>
  </cdr:relSizeAnchor>
  <cdr:relSizeAnchor xmlns:cdr="http://schemas.openxmlformats.org/drawingml/2006/chartDrawing">
    <cdr:from>
      <cdr:x>0.52778</cdr:x>
      <cdr:y>0.03588</cdr:y>
    </cdr:from>
    <cdr:to>
      <cdr:x>0.60903</cdr:x>
      <cdr:y>0.11574</cdr:y>
    </cdr:to>
    <cdr:sp macro="" textlink="">
      <cdr:nvSpPr>
        <cdr:cNvPr id="8" name="Caixa de texto 1"/>
        <cdr:cNvSpPr txBox="1"/>
      </cdr:nvSpPr>
      <cdr:spPr>
        <a:xfrm xmlns:a="http://schemas.openxmlformats.org/drawingml/2006/main">
          <a:off x="2413010" y="98435"/>
          <a:ext cx="371475" cy="219072"/>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a:t>
          </a:r>
        </a:p>
      </cdr:txBody>
    </cdr:sp>
  </cdr:relSizeAnchor>
  <cdr:relSizeAnchor xmlns:cdr="http://schemas.openxmlformats.org/drawingml/2006/chartDrawing">
    <cdr:from>
      <cdr:x>0.70972</cdr:x>
      <cdr:y>0.18634</cdr:y>
    </cdr:from>
    <cdr:to>
      <cdr:x>0.79097</cdr:x>
      <cdr:y>0.2662</cdr:y>
    </cdr:to>
    <cdr:sp macro="" textlink="">
      <cdr:nvSpPr>
        <cdr:cNvPr id="9" name="Caixa de texto 1"/>
        <cdr:cNvSpPr txBox="1"/>
      </cdr:nvSpPr>
      <cdr:spPr>
        <a:xfrm xmlns:a="http://schemas.openxmlformats.org/drawingml/2006/main">
          <a:off x="3244840" y="511174"/>
          <a:ext cx="371475" cy="219072"/>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pt-PT"/>
            <a:t>NS</a:t>
          </a:r>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Hoo15</b:Tag>
    <b:SourceType>InternetSite</b:SourceType>
    <b:Guid>{F68405D3-2417-4CE1-9A54-A484B012025D}</b:Guid>
    <b:Author>
      <b:Author>
        <b:NameList>
          <b:Person>
            <b:Last>Hoose</b:Last>
            <b:First>Tamara</b:First>
            <b:Middle>C.V.</b:Middle>
          </b:Person>
        </b:NameList>
      </b:Author>
    </b:Author>
    <b:InternetSiteTitle>Modernmom</b:InternetSiteTitle>
    <b:Year>2015</b:Year>
    <b:YearAccessed>2015</b:YearAccessed>
    <b:MonthAccessed>08</b:MonthAccessed>
    <b:DayAccessed>27</b:DayAccessed>
    <b:URL>http://motherhood.modernmom.com/prickly-pear-ripe-13060.html </b:URL>
    <b:RefOrder>5</b:RefOrder>
  </b:Source>
  <b:Source>
    <b:Tag>Cas08</b:Tag>
    <b:SourceType>ArticleInAPeriodical</b:SourceType>
    <b:Guid>{5EA70713-0884-4DBE-8BF9-46AB5DB3821C}</b:Guid>
    <b:Title>Identification and Quantification of Betalains from the Fruits of 10 Mexican Prickly Pear Cultivars by High-Performance Liquid Chromatography and Electrospray Ionization Mass Spectrometry</b:Title>
    <b:Year>2008</b:Year>
    <b:Author>
      <b:Author>
        <b:NameList>
          <b:Person>
            <b:Last>Castellanos-Santiago</b:Last>
            <b:First>Elena</b:First>
          </b:Person>
          <b:Person>
            <b:Last>Yahia</b:Last>
            <b:First>Elhadi</b:First>
          </b:Person>
        </b:NameList>
      </b:Author>
    </b:Author>
    <b:PeriodicalTitle>Journal of Agricultural and food chemistry</b:PeriodicalTitle>
    <b:Month>Junho</b:Month>
    <b:Day>6</b:Day>
    <b:Pages>5758-5764</b:Pages>
    <b:RefOrder>14</b:RefOrder>
  </b:Source>
  <b:Source>
    <b:Tag>Maf05</b:Tag>
    <b:SourceType>InternetSite</b:SourceType>
    <b:Guid>{4B1FE612-8CE3-40AA-9AE5-6C1FAD166535}</b:Guid>
    <b:Title>O SECTOR ALIMENTAR - PRODUÇÃO, QUALIDADE, I&amp;D</b:Title>
    <b:Year>2005</b:Year>
    <b:Author>
      <b:Author>
        <b:NameList>
          <b:Person>
            <b:Last>Moreira</b:Last>
            <b:First>Mafalda</b:First>
            <b:Middle>Paes</b:Middle>
          </b:Person>
        </b:NameList>
      </b:Author>
    </b:Author>
    <b:InternetSiteTitle>BLOG ALIMENTAR</b:InternetSiteTitle>
    <b:Month>Setembro</b:Month>
    <b:Day>10</b:Day>
    <b:YearAccessed>2015</b:YearAccessed>
    <b:MonthAccessed>Dezembro</b:MonthAccessed>
    <b:DayAccessed>14</b:DayAccessed>
    <b:URL>http://alimentar.blogs.sapo.pt/1542.html</b:URL>
    <b:RefOrder>23</b:RefOrder>
  </b:Source>
</b:Sources>
</file>

<file path=customXml/itemProps1.xml><?xml version="1.0" encoding="utf-8"?>
<ds:datastoreItem xmlns:ds="http://schemas.openxmlformats.org/officeDocument/2006/customXml" ds:itemID="{879DC051-43D6-405C-BCC1-4FE63D357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84382</Words>
  <Characters>455668</Characters>
  <Application>Microsoft Office Word</Application>
  <DocSecurity>0</DocSecurity>
  <Lines>3797</Lines>
  <Paragraphs>1077</Paragraphs>
  <ScaleCrop>false</ScaleCrop>
  <HeadingPairs>
    <vt:vector size="2" baseType="variant">
      <vt:variant>
        <vt:lpstr>Título</vt:lpstr>
      </vt:variant>
      <vt:variant>
        <vt:i4>1</vt:i4>
      </vt:variant>
    </vt:vector>
  </HeadingPairs>
  <TitlesOfParts>
    <vt:vector size="1" baseType="lpstr">
      <vt:lpstr/>
    </vt:vector>
  </TitlesOfParts>
  <Company>Central</Company>
  <LinksUpToDate>false</LinksUpToDate>
  <CharactersWithSpaces>538973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 Valente</dc:creator>
  <cp:lastModifiedBy>Utilizador</cp:lastModifiedBy>
  <cp:revision>2</cp:revision>
  <cp:lastPrinted>2017-04-07T12:18:00Z</cp:lastPrinted>
  <dcterms:created xsi:type="dcterms:W3CDTF">2017-05-05T10:28:00Z</dcterms:created>
  <dcterms:modified xsi:type="dcterms:W3CDTF">2017-05-05T10:28:00Z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b558c344-29d2-305c-8e75-30ad29a97cb0</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