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B4D" w:rsidRPr="00531B4D" w:rsidRDefault="007A6BD2" w:rsidP="00531B4D">
      <w:pPr>
        <w:autoSpaceDE w:val="0"/>
        <w:autoSpaceDN w:val="0"/>
        <w:adjustRightInd w:val="0"/>
        <w:spacing w:after="0" w:line="240" w:lineRule="auto"/>
        <w:jc w:val="lowKashida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gramStart"/>
      <w:r w:rsidRPr="007A6BD2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Additional file 1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.</w:t>
      </w:r>
      <w:bookmarkStart w:id="0" w:name="_GoBack"/>
      <w:bookmarkEnd w:id="0"/>
      <w:proofErr w:type="gramEnd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Similarity of selected differentially expressed TDFs in the </w:t>
      </w:r>
      <w:r w:rsidR="00531B4D" w:rsidRPr="00531B4D">
        <w:rPr>
          <w:rFonts w:ascii="Times New Roman" w:eastAsia="Calibri" w:hAnsi="Times New Roman" w:cs="Times New Roman"/>
          <w:i/>
          <w:sz w:val="24"/>
          <w:szCs w:val="24"/>
          <w:lang w:val="en-US"/>
        </w:rPr>
        <w:t>Quercus suber</w:t>
      </w:r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531B4D" w:rsidRPr="00531B4D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Phytophthora cinnamomi </w:t>
      </w:r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interaction with sequences detected using </w:t>
      </w:r>
      <w:proofErr w:type="spellStart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>blastn</w:t>
      </w:r>
      <w:proofErr w:type="spellEnd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>/</w:t>
      </w:r>
      <w:proofErr w:type="spellStart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>tblastx</w:t>
      </w:r>
      <w:proofErr w:type="spellEnd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>Altschul</w:t>
      </w:r>
      <w:proofErr w:type="spellEnd"/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531B4D" w:rsidRPr="00531B4D">
        <w:rPr>
          <w:rFonts w:ascii="Times New Roman" w:eastAsia="Calibri" w:hAnsi="Times New Roman" w:cs="Times New Roman"/>
          <w:i/>
          <w:sz w:val="24"/>
          <w:szCs w:val="24"/>
          <w:lang w:val="en-US"/>
        </w:rPr>
        <w:t>et al</w:t>
      </w:r>
      <w:r w:rsidR="00531B4D" w:rsidRPr="00531B4D">
        <w:rPr>
          <w:rFonts w:ascii="Times New Roman" w:eastAsia="Calibri" w:hAnsi="Times New Roman" w:cs="Times New Roman"/>
          <w:sz w:val="24"/>
          <w:szCs w:val="24"/>
          <w:lang w:val="en-US"/>
        </w:rPr>
        <w:t>. 1997) and their annotation.</w:t>
      </w:r>
    </w:p>
    <w:tbl>
      <w:tblPr>
        <w:tblpPr w:leftFromText="180" w:rightFromText="180" w:vertAnchor="text" w:tblpXSpec="center" w:tblpY="1"/>
        <w:tblW w:w="643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19"/>
        <w:gridCol w:w="984"/>
        <w:gridCol w:w="633"/>
        <w:gridCol w:w="1775"/>
        <w:gridCol w:w="2834"/>
        <w:gridCol w:w="1276"/>
        <w:gridCol w:w="1702"/>
        <w:gridCol w:w="876"/>
      </w:tblGrid>
      <w:tr w:rsidR="00531B4D" w:rsidRPr="00531B4D" w:rsidTr="008D60A4">
        <w:trPr>
          <w:trHeight w:val="1080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Code of the cDNA-AFLP fragment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Sample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Size (bp)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Accession number of blast hits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Homology</w:t>
            </w:r>
          </w:p>
        </w:tc>
        <w:tc>
          <w:tcPr>
            <w:tcW w:w="53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Annotation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%Homology</w:t>
            </w:r>
          </w:p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(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tblastx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/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blastn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E-value </w:t>
            </w:r>
          </w:p>
        </w:tc>
      </w:tr>
      <w:tr w:rsidR="00531B4D" w:rsidRPr="00531B4D" w:rsidTr="008D60A4">
        <w:trPr>
          <w:trHeight w:val="620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C3 (Clone 3-1)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199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DQ465765.1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</w:pPr>
            <w:proofErr w:type="spellStart"/>
            <w:r w:rsidRPr="00531B4D">
              <w:rPr>
                <w:rFonts w:ascii="Times New Roman" w:eastAsia="Calibri" w:hAnsi="Times New Roman" w:cs="Times New Roman"/>
                <w:i/>
                <w:color w:val="000000"/>
                <w:sz w:val="20"/>
                <w:szCs w:val="20"/>
                <w:lang w:val="en-US"/>
              </w:rPr>
              <w:t>Sesbania</w:t>
            </w:r>
            <w:proofErr w:type="spellEnd"/>
            <w:r w:rsidRPr="00531B4D">
              <w:rPr>
                <w:rFonts w:ascii="Times New Roman" w:eastAsia="Calibri" w:hAnsi="Times New Roman" w:cs="Times New Roman"/>
                <w:i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i/>
                <w:color w:val="000000"/>
                <w:sz w:val="20"/>
                <w:szCs w:val="20"/>
                <w:lang w:val="en-US"/>
              </w:rPr>
              <w:t>drummondii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clone SSH-12_01_B03_T3 mRNA</w:t>
            </w:r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  <w:t xml:space="preserve">Response to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  <w:t>stimulus</w:t>
            </w:r>
            <w:proofErr w:type="spellEnd"/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95% in 41aa out of 43aa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6e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-34</w:t>
            </w:r>
          </w:p>
        </w:tc>
      </w:tr>
      <w:tr w:rsidR="00531B4D" w:rsidRPr="00531B4D" w:rsidTr="008D60A4">
        <w:trPr>
          <w:trHeight w:val="620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C14 (Clone 14-1)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383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NM_120041.3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Arabidopsis thaliana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calcium-binding EF hand family protein (AT4G38810) mRNA, complete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Signal transduction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79% 58aa out of 73aa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4e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-30</w:t>
            </w:r>
          </w:p>
        </w:tc>
      </w:tr>
      <w:tr w:rsidR="00531B4D" w:rsidRPr="00531B4D" w:rsidTr="008D60A4">
        <w:trPr>
          <w:trHeight w:val="620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C15 (Clone 15-1)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188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</w:rPr>
              <w:t>FJ410447.1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keepNext/>
              <w:keepLines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Betula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luminifera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cellulose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synthase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(CesA5)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mRNA</w:t>
            </w:r>
            <w:proofErr w:type="spellEnd"/>
            <w:proofErr w:type="gram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proofErr w:type="gram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complete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Metabolism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97% 48aa out of 49aa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2e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-28</w:t>
            </w:r>
          </w:p>
        </w:tc>
      </w:tr>
      <w:tr w:rsidR="00531B4D" w:rsidRPr="00531B4D" w:rsidTr="008D60A4">
        <w:trPr>
          <w:trHeight w:val="620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C19 (Clone 19-2)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IR-8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381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DQ677588.1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keepNext/>
              <w:keepLines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</w:pP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Prunus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spinosa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S-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RNase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(S-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RNase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) gene, S-RNase-9 allele and S-locus F-box protein (SFB) gene, SFB-9 allele, partial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Metabolism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82% </w:t>
            </w:r>
            <w:proofErr w:type="gram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in</w:t>
            </w:r>
            <w:proofErr w:type="gram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37nt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0.10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C25 (Clone 25-1)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352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AY274259.1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proofErr w:type="spellStart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Cucumis</w:t>
            </w:r>
            <w:proofErr w:type="spellEnd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sativus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tyrosine kinase mRNA, partial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Signal transduction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54% in 23aa out of 42aa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-13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C27 (Clone 27-2)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202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BT000048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</w:rPr>
              <w:t>Arabidopsis</w:t>
            </w:r>
            <w:proofErr w:type="spellEnd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</w:rPr>
              <w:t>thaliana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putative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β-1,3-glucanase precursor,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putative</w:t>
            </w:r>
            <w:proofErr w:type="spellEnd"/>
          </w:p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(At1g32860) mRNA, complete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Defence response/growth and development</w:t>
            </w:r>
          </w:p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60% in 39aa out of 65aa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2e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-18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C29 (Clone 29-1)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380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NM_128167.3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Arabidopsis thaliana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glycinedehydrogenase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decarboxylating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)</w:t>
            </w:r>
          </w:p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(ATGLDP2) mRNA, complete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Photosynthesis, energy</w:t>
            </w:r>
          </w:p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and survival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88% in 111aa out of 126aa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5e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-61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C30 (Clone 30-2)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190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EEF43218.1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Anthranilate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N-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benzoyltransferase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protein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putative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Ricinus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Communis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Defence response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65% in 38aa out of 58aa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7e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-12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C35 (Clone 35-2)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IR-20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157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NP_180174.1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Bet v I allergen family protein [</w:t>
            </w:r>
            <w:r w:rsidRPr="00531B4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Arabidopsis thaliana</w:t>
            </w:r>
            <w:r w:rsidRPr="00531B4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]</w:t>
            </w:r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Defence response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75% in 34aa out of 45aa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4e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-11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C43 (Clone 43-1)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IR-26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75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</w:rPr>
              <w:t>FJ656201.1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31B4D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Quercus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ilex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>subsp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531B4D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rotundifolia</w:t>
            </w:r>
            <w:proofErr w:type="gramEnd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AFLP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>fragment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Rot10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</w:rPr>
              <w:t>sequence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Similar to retrotransposon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69% in 16aa out of 23aa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0.093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C44 (Clone 44-2)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IR-26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64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NM_125596.3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Arabidopsis thaliana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diphthamide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synthesis DPH2 family protein</w:t>
            </w:r>
          </w:p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(AT5G62030) mRNA, complete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Elongation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80% in 50aa out of 62aa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0.46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C47 (Clone 47-1)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IR-20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89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NM_125596.3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Glycine max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mRNA for PDR-like ABC-transporter (pdr12 gene)</w:t>
            </w:r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Transport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89% in 25aa out of 28aa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-08</w:t>
            </w:r>
          </w:p>
        </w:tc>
      </w:tr>
      <w:tr w:rsidR="00531B4D" w:rsidRPr="00531B4D" w:rsidTr="008D60A4"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C51 (Clone 51-1)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IR-20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116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</w:rPr>
              <w:t>XM_002330233.1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</w:rPr>
              <w:t>Populus</w:t>
            </w:r>
            <w:proofErr w:type="spellEnd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</w:rPr>
              <w:t>trichocarpa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2-oxoglutarate-dependent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dioxygenase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(2OGox2),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mRNA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Oxygenases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 xml:space="preserve"> and metabolism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81% in 18aa out of 22aa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-04</w:t>
            </w:r>
          </w:p>
        </w:tc>
      </w:tr>
      <w:tr w:rsidR="00531B4D" w:rsidRPr="00531B4D" w:rsidTr="008D60A4">
        <w:trPr>
          <w:trHeight w:val="377"/>
        </w:trPr>
        <w:tc>
          <w:tcPr>
            <w:tcW w:w="764" w:type="pct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C56 (Clone 56-1)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IR-26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76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</w:rPr>
              <w:t>NM_117063.1</w:t>
            </w:r>
          </w:p>
        </w:tc>
        <w:tc>
          <w:tcPr>
            <w:tcW w:w="1191" w:type="pct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>Arabidopsis thaliana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avirulence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-responsive family protein–</w:t>
            </w:r>
          </w:p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avirulence</w:t>
            </w:r>
            <w:proofErr w:type="spellEnd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-induced gene (AIG1) family protein (AT4G09950) mRNA, complete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lastRenderedPageBreak/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Defence response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90% in 28nt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1.9</w:t>
            </w:r>
          </w:p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531B4D" w:rsidRPr="00531B4D" w:rsidTr="008D60A4">
        <w:trPr>
          <w:trHeight w:val="743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lastRenderedPageBreak/>
              <w:t>C59 (Clone 59-1)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HR-32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59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</w:rPr>
              <w:t>NM_113307.2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i/>
                <w:iCs/>
                <w:color w:val="000000"/>
                <w:sz w:val="20"/>
                <w:szCs w:val="20"/>
                <w:lang w:val="en-US"/>
              </w:rPr>
              <w:t xml:space="preserve">Arabidopsis thaliana 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disease resistance-responsive family protein (AT3G24020) mRNA, complete </w:t>
            </w:r>
            <w:proofErr w:type="spellStart"/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cds</w:t>
            </w:r>
            <w:proofErr w:type="spellEnd"/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Defence response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87% in 28nt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4.2</w:t>
            </w:r>
          </w:p>
        </w:tc>
      </w:tr>
      <w:tr w:rsidR="00531B4D" w:rsidRPr="00531B4D" w:rsidTr="008D60A4">
        <w:trPr>
          <w:trHeight w:val="351"/>
        </w:trPr>
        <w:tc>
          <w:tcPr>
            <w:tcW w:w="764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C60 (Clone 60-1)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413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lowKashida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IR-26</w:t>
            </w:r>
          </w:p>
        </w:tc>
        <w:tc>
          <w:tcPr>
            <w:tcW w:w="26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308</w:t>
            </w:r>
          </w:p>
        </w:tc>
        <w:tc>
          <w:tcPr>
            <w:tcW w:w="746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sz w:val="20"/>
                <w:szCs w:val="20"/>
                <w:shd w:val="clear" w:color="auto" w:fill="FFFFFF"/>
                <w:lang w:val="en-US"/>
              </w:rPr>
              <w:t>XM_002276527.2</w:t>
            </w:r>
          </w:p>
        </w:tc>
        <w:tc>
          <w:tcPr>
            <w:tcW w:w="1191" w:type="pct"/>
            <w:vAlign w:val="center"/>
          </w:tcPr>
          <w:p w:rsidR="00531B4D" w:rsidRPr="00531B4D" w:rsidRDefault="00531B4D" w:rsidP="00531B4D">
            <w:pPr>
              <w:keepNext/>
              <w:keepLines/>
              <w:shd w:val="clear" w:color="auto" w:fill="FFFFFF"/>
              <w:spacing w:before="120" w:after="48"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</w:rPr>
              <w:t>Vitis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31B4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</w:rPr>
              <w:t>vinifera</w:t>
            </w:r>
            <w:proofErr w:type="spellEnd"/>
            <w:r w:rsidRPr="00531B4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r w:rsidRPr="00531B4D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chitinase-like protein 2-like (LOC100261982)</w:t>
            </w:r>
          </w:p>
          <w:p w:rsidR="00531B4D" w:rsidRPr="00531B4D" w:rsidRDefault="00531B4D" w:rsidP="00531B4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536" w:type="pct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val="en-US"/>
              </w:rPr>
              <w:t>Defence response</w:t>
            </w:r>
          </w:p>
        </w:tc>
        <w:tc>
          <w:tcPr>
            <w:tcW w:w="715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86% in 84aa out of 98aa</w:t>
            </w:r>
          </w:p>
        </w:tc>
        <w:tc>
          <w:tcPr>
            <w:tcW w:w="368" w:type="pct"/>
            <w:vAlign w:val="center"/>
          </w:tcPr>
          <w:p w:rsidR="00531B4D" w:rsidRPr="00531B4D" w:rsidRDefault="00531B4D" w:rsidP="00531B4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2e</w:t>
            </w:r>
            <w:r w:rsidRPr="00531B4D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vertAlign w:val="superscript"/>
              </w:rPr>
              <w:t>-57</w:t>
            </w:r>
          </w:p>
        </w:tc>
      </w:tr>
    </w:tbl>
    <w:p w:rsidR="00531B4D" w:rsidRPr="00531B4D" w:rsidRDefault="00531B4D" w:rsidP="00531B4D">
      <w:pPr>
        <w:spacing w:before="240" w:after="0"/>
        <w:ind w:left="142" w:hanging="142"/>
        <w:jc w:val="both"/>
        <w:rPr>
          <w:rFonts w:ascii="Times New Roman" w:eastAsia="Calibri" w:hAnsi="Times New Roman" w:cs="Times New Roman"/>
          <w:sz w:val="20"/>
          <w:szCs w:val="20"/>
          <w:lang w:val="en-US" w:eastAsia="x-none"/>
        </w:rPr>
      </w:pPr>
      <w:r w:rsidRPr="00531B4D">
        <w:rPr>
          <w:rFonts w:ascii="Calibri" w:eastAsia="Calibri" w:hAnsi="Calibri" w:cs="Times New Roman"/>
          <w:sz w:val="20"/>
          <w:szCs w:val="20"/>
          <w:vertAlign w:val="superscript"/>
          <w:lang w:val="en-US" w:eastAsia="x-none"/>
        </w:rPr>
        <w:t>1</w:t>
      </w:r>
      <w:r w:rsidRPr="00531B4D">
        <w:rPr>
          <w:rFonts w:ascii="Times New Roman" w:eastAsia="Calibri" w:hAnsi="Times New Roman" w:cs="Times New Roman"/>
          <w:sz w:val="20"/>
          <w:szCs w:val="20"/>
          <w:lang w:val="en-US" w:eastAsia="x-none"/>
        </w:rPr>
        <w:t xml:space="preserve"> </w:t>
      </w:r>
      <w:r w:rsidRPr="00531B4D">
        <w:rPr>
          <w:rFonts w:ascii="Times New Roman" w:eastAsia="Calibri" w:hAnsi="Times New Roman" w:cs="Times New Roman"/>
          <w:sz w:val="20"/>
          <w:szCs w:val="20"/>
          <w:shd w:val="clear" w:color="auto" w:fill="FFFFFF"/>
          <w:lang w:val="en-US" w:eastAsia="x-none"/>
        </w:rPr>
        <w:t>TDFs</w:t>
      </w:r>
      <w:r w:rsidRPr="00531B4D" w:rsidDel="005760CF">
        <w:rPr>
          <w:rFonts w:ascii="Times New Roman" w:eastAsia="Calibri" w:hAnsi="Times New Roman" w:cs="Times New Roman"/>
          <w:sz w:val="20"/>
          <w:szCs w:val="20"/>
          <w:lang w:val="en-US" w:eastAsia="x-none"/>
        </w:rPr>
        <w:t xml:space="preserve"> </w:t>
      </w:r>
      <w:r w:rsidRPr="00531B4D">
        <w:rPr>
          <w:rFonts w:ascii="Times New Roman" w:eastAsia="Calibri" w:hAnsi="Times New Roman" w:cs="Times New Roman"/>
          <w:sz w:val="20"/>
          <w:szCs w:val="20"/>
          <w:shd w:val="clear" w:color="auto" w:fill="FFFFFF"/>
          <w:lang w:val="en-US" w:eastAsia="x-none"/>
        </w:rPr>
        <w:t xml:space="preserve">were selected </w:t>
      </w:r>
      <w:r w:rsidRPr="00531B4D">
        <w:rPr>
          <w:rFonts w:ascii="Times New Roman" w:eastAsia="Calibri" w:hAnsi="Times New Roman" w:cs="Times New Roman"/>
          <w:color w:val="000000"/>
          <w:sz w:val="20"/>
          <w:szCs w:val="20"/>
          <w:lang w:val="en-US" w:eastAsia="x-none"/>
        </w:rPr>
        <w:t>to</w:t>
      </w:r>
      <w:r w:rsidRPr="00531B4D">
        <w:rPr>
          <w:rFonts w:ascii="Times New Roman" w:eastAsia="Calibri" w:hAnsi="Times New Roman" w:cs="Times New Roman"/>
          <w:sz w:val="20"/>
          <w:szCs w:val="20"/>
          <w:shd w:val="clear" w:color="auto" w:fill="FFFFFF"/>
          <w:lang w:val="en-US" w:eastAsia="x-none"/>
        </w:rPr>
        <w:t xml:space="preserve"> complete the coding region sequences (CDS) and gene expression analysis (with the exception that C29</w:t>
      </w:r>
      <w:r w:rsidRPr="00531B4D">
        <w:rPr>
          <w:rFonts w:ascii="Times New Roman" w:eastAsia="Calibri" w:hAnsi="Times New Roman" w:cs="Times New Roman"/>
          <w:lang w:val="en-US"/>
        </w:rPr>
        <w:t xml:space="preserve"> was not </w:t>
      </w:r>
      <w:r w:rsidRPr="00531B4D">
        <w:rPr>
          <w:rFonts w:ascii="Times New Roman" w:eastAsia="Calibri" w:hAnsi="Times New Roman" w:cs="Times New Roman"/>
          <w:sz w:val="20"/>
          <w:szCs w:val="20"/>
          <w:shd w:val="clear" w:color="auto" w:fill="FFFFFF"/>
          <w:lang w:val="en-US" w:eastAsia="x-none"/>
        </w:rPr>
        <w:t>used for qRT-PCR analysis)</w:t>
      </w:r>
    </w:p>
    <w:p w:rsidR="00CD088F" w:rsidRPr="00531B4D" w:rsidRDefault="00531B4D" w:rsidP="00531B4D">
      <w:pPr>
        <w:jc w:val="both"/>
        <w:rPr>
          <w:lang w:val="en-US"/>
        </w:rPr>
      </w:pPr>
      <w:r w:rsidRPr="00A1531C">
        <w:rPr>
          <w:rFonts w:ascii="Cambria" w:eastAsia="Calibri" w:hAnsi="Cambria" w:cs="Times New Roman"/>
          <w:sz w:val="20"/>
          <w:szCs w:val="20"/>
          <w:vertAlign w:val="superscript"/>
          <w:lang w:val="en-US" w:eastAsia="x-none"/>
        </w:rPr>
        <w:t>2</w:t>
      </w:r>
      <w:r w:rsidRPr="00A1531C">
        <w:rPr>
          <w:rFonts w:ascii="Cambria" w:eastAsia="Calibri" w:hAnsi="Cambria" w:cs="Times New Roman"/>
          <w:sz w:val="20"/>
          <w:szCs w:val="20"/>
          <w:lang w:val="en-US" w:eastAsia="x-none"/>
        </w:rPr>
        <w:t xml:space="preserve"> IR: infected roots; HR: healthy roots (control). Figures refer to the time in hours at which relevant differences were observed between IR and HR. For example, HR-32 means that C59 was not observed within 32 h (or faintly observed) in IR and that the corresponding fragment was excised from the HR sample at that time.</w:t>
      </w:r>
    </w:p>
    <w:sectPr w:rsidR="00CD088F" w:rsidRPr="00531B4D" w:rsidSect="00E7082E">
      <w:pgSz w:w="11907" w:h="16839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doNotDisplayPageBoundarie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E5B"/>
    <w:rsid w:val="00012911"/>
    <w:rsid w:val="000D6E5B"/>
    <w:rsid w:val="00133A78"/>
    <w:rsid w:val="00325E08"/>
    <w:rsid w:val="00531B4D"/>
    <w:rsid w:val="007132B8"/>
    <w:rsid w:val="007960D7"/>
    <w:rsid w:val="007A6BD2"/>
    <w:rsid w:val="007E588D"/>
    <w:rsid w:val="008B281E"/>
    <w:rsid w:val="008C702B"/>
    <w:rsid w:val="008D5A6A"/>
    <w:rsid w:val="009501E1"/>
    <w:rsid w:val="00AB5033"/>
    <w:rsid w:val="00B53A0F"/>
    <w:rsid w:val="00CD088F"/>
    <w:rsid w:val="00E669B9"/>
    <w:rsid w:val="00E7082E"/>
    <w:rsid w:val="00F37B14"/>
    <w:rsid w:val="00F5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545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acravad</dc:creator>
  <cp:lastModifiedBy>acravad</cp:lastModifiedBy>
  <cp:revision>2</cp:revision>
  <dcterms:created xsi:type="dcterms:W3CDTF">2014-10-01T17:17:00Z</dcterms:created>
  <dcterms:modified xsi:type="dcterms:W3CDTF">2014-10-01T17:17:00Z</dcterms:modified>
</cp:coreProperties>
</file>